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3CA" w:rsidRPr="007461F8" w:rsidRDefault="006013CA" w:rsidP="007461F8">
      <w:pPr>
        <w:spacing w:line="240" w:lineRule="auto"/>
        <w:jc w:val="center"/>
        <w:rPr>
          <w:b/>
          <w:sz w:val="52"/>
          <w:szCs w:val="52"/>
          <w:lang w:eastAsia="it-IT"/>
        </w:rPr>
      </w:pPr>
      <w:r w:rsidRPr="007461F8">
        <w:rPr>
          <w:b/>
          <w:sz w:val="52"/>
          <w:szCs w:val="52"/>
          <w:lang w:eastAsia="it-IT"/>
        </w:rPr>
        <w:t>Le Aree interne dell’Italia:</w:t>
      </w:r>
    </w:p>
    <w:p w:rsidR="006013CA" w:rsidRPr="007461F8" w:rsidRDefault="006013CA" w:rsidP="007461F8">
      <w:pPr>
        <w:spacing w:line="240" w:lineRule="auto"/>
        <w:jc w:val="center"/>
        <w:rPr>
          <w:b/>
          <w:sz w:val="52"/>
          <w:szCs w:val="52"/>
          <w:lang w:eastAsia="it-IT"/>
        </w:rPr>
      </w:pPr>
      <w:r w:rsidRPr="007461F8">
        <w:rPr>
          <w:b/>
          <w:sz w:val="52"/>
          <w:szCs w:val="52"/>
          <w:lang w:eastAsia="it-IT"/>
        </w:rPr>
        <w:t xml:space="preserve">una strategia di sviluppo </w:t>
      </w:r>
    </w:p>
    <w:p w:rsidR="006013CA" w:rsidRDefault="006013CA" w:rsidP="00A269F3">
      <w:pPr>
        <w:spacing w:after="120" w:line="240" w:lineRule="auto"/>
      </w:pPr>
    </w:p>
    <w:p w:rsidR="006013CA" w:rsidRDefault="006013CA" w:rsidP="00A269F3">
      <w:pPr>
        <w:spacing w:after="120" w:line="240" w:lineRule="auto"/>
      </w:pPr>
    </w:p>
    <w:p w:rsidR="006013CA" w:rsidRDefault="006013CA" w:rsidP="00A269F3">
      <w:pPr>
        <w:spacing w:after="120" w:line="240" w:lineRule="auto"/>
      </w:pPr>
    </w:p>
    <w:p w:rsidR="006013CA" w:rsidRDefault="006013CA" w:rsidP="00A269F3">
      <w:pPr>
        <w:spacing w:after="120" w:line="240" w:lineRule="auto"/>
      </w:pPr>
    </w:p>
    <w:p w:rsidR="006013CA" w:rsidRDefault="006013CA" w:rsidP="00A269F3">
      <w:pPr>
        <w:spacing w:after="120" w:line="240" w:lineRule="auto"/>
      </w:pPr>
    </w:p>
    <w:p w:rsidR="006013CA" w:rsidRDefault="006013CA">
      <w:pPr>
        <w:spacing w:after="0" w:line="240" w:lineRule="auto"/>
        <w:jc w:val="left"/>
      </w:pPr>
      <w:r>
        <w:br w:type="page"/>
      </w:r>
    </w:p>
    <w:p w:rsidR="006013CA" w:rsidRPr="00A269F3" w:rsidRDefault="006013CA" w:rsidP="00A269F3">
      <w:pPr>
        <w:spacing w:after="120" w:line="240" w:lineRule="auto"/>
      </w:pPr>
    </w:p>
    <w:p w:rsidR="006013CA" w:rsidRDefault="006013CA">
      <w:pPr>
        <w:spacing w:after="0" w:line="240" w:lineRule="auto"/>
        <w:rPr>
          <w:b/>
          <w:sz w:val="32"/>
          <w:szCs w:val="32"/>
          <w:lang w:eastAsia="it-IT"/>
        </w:rPr>
        <w:sectPr w:rsidR="006013CA" w:rsidSect="00EA7C8D">
          <w:footerReference w:type="default" r:id="rId7"/>
          <w:pgSz w:w="11906" w:h="16838"/>
          <w:pgMar w:top="5670" w:right="1701" w:bottom="1701" w:left="1701" w:header="709" w:footer="709" w:gutter="0"/>
          <w:cols w:space="708"/>
          <w:docGrid w:linePitch="360"/>
        </w:sectPr>
      </w:pPr>
    </w:p>
    <w:p w:rsidR="006013CA" w:rsidRPr="00D35A1D" w:rsidRDefault="006013CA" w:rsidP="00D35A1D">
      <w:pPr>
        <w:pStyle w:val="TOCHeading"/>
        <w:spacing w:before="0" w:after="480" w:line="240" w:lineRule="auto"/>
        <w:rPr>
          <w:rFonts w:ascii="Garamond" w:hAnsi="Garamond"/>
          <w:color w:val="auto"/>
        </w:rPr>
      </w:pPr>
      <w:r w:rsidRPr="00D35A1D">
        <w:rPr>
          <w:rFonts w:ascii="Garamond" w:hAnsi="Garamond"/>
          <w:color w:val="auto"/>
        </w:rPr>
        <w:t>Sommario</w:t>
      </w:r>
    </w:p>
    <w:p w:rsidR="006013CA" w:rsidRPr="00EA7C8D" w:rsidRDefault="006013CA">
      <w:pPr>
        <w:pStyle w:val="TOC2"/>
        <w:rPr>
          <w:rFonts w:eastAsia="MS Mincho"/>
          <w:lang w:eastAsia="it-IT"/>
        </w:rPr>
      </w:pPr>
      <w:r w:rsidRPr="001A2B8E">
        <w:rPr>
          <w:sz w:val="24"/>
          <w:szCs w:val="24"/>
        </w:rPr>
        <w:fldChar w:fldCharType="begin"/>
      </w:r>
      <w:r w:rsidRPr="001A2B8E">
        <w:rPr>
          <w:sz w:val="24"/>
          <w:szCs w:val="24"/>
        </w:rPr>
        <w:instrText xml:space="preserve"> TOC \o "1-3" </w:instrText>
      </w:r>
      <w:r w:rsidRPr="001A2B8E">
        <w:rPr>
          <w:sz w:val="24"/>
          <w:szCs w:val="24"/>
        </w:rPr>
        <w:fldChar w:fldCharType="separate"/>
      </w:r>
      <w:r w:rsidRPr="001A2B8E">
        <w:t>Introduzione (da riscrivere alla fine)</w:t>
      </w:r>
      <w:r w:rsidRPr="001A2B8E">
        <w:tab/>
      </w:r>
      <w:r w:rsidRPr="001A2B8E">
        <w:fldChar w:fldCharType="begin"/>
      </w:r>
      <w:r w:rsidRPr="001A2B8E">
        <w:instrText xml:space="preserve"> PAGEREF _Toc356901577 \h </w:instrText>
      </w:r>
      <w:r w:rsidRPr="001A2B8E">
        <w:fldChar w:fldCharType="separate"/>
      </w:r>
      <w:r>
        <w:t>5</w:t>
      </w:r>
      <w:r w:rsidRPr="001A2B8E">
        <w:fldChar w:fldCharType="end"/>
      </w:r>
    </w:p>
    <w:p w:rsidR="006013CA" w:rsidRPr="00EA7C8D" w:rsidRDefault="006013CA">
      <w:pPr>
        <w:pStyle w:val="TOC2"/>
        <w:rPr>
          <w:rFonts w:eastAsia="MS Mincho"/>
          <w:lang w:eastAsia="it-IT"/>
        </w:rPr>
      </w:pPr>
      <w:r w:rsidRPr="001A2B8E">
        <w:t xml:space="preserve">1. </w:t>
      </w:r>
      <w:r w:rsidRPr="00EA7C8D">
        <w:rPr>
          <w:rFonts w:eastAsia="MS Mincho"/>
          <w:lang w:eastAsia="it-IT"/>
        </w:rPr>
        <w:tab/>
      </w:r>
      <w:r w:rsidRPr="001A2B8E">
        <w:t>Le Aree interne: crescita e sviluppo economico</w:t>
      </w:r>
      <w:r w:rsidRPr="001A2B8E">
        <w:tab/>
      </w:r>
      <w:r w:rsidRPr="001A2B8E">
        <w:fldChar w:fldCharType="begin"/>
      </w:r>
      <w:r w:rsidRPr="001A2B8E">
        <w:instrText xml:space="preserve"> PAGEREF _Toc356901578 \h </w:instrText>
      </w:r>
      <w:r w:rsidRPr="001A2B8E">
        <w:fldChar w:fldCharType="separate"/>
      </w:r>
      <w:r>
        <w:t>6</w:t>
      </w:r>
      <w:r w:rsidRPr="001A2B8E">
        <w:fldChar w:fldCharType="end"/>
      </w:r>
    </w:p>
    <w:p w:rsidR="006013CA" w:rsidRPr="00EA7C8D" w:rsidRDefault="006013CA">
      <w:pPr>
        <w:pStyle w:val="TOC3"/>
        <w:rPr>
          <w:rFonts w:ascii="Garamond" w:hAnsi="Garamond"/>
          <w:noProof/>
        </w:rPr>
      </w:pPr>
      <w:r w:rsidRPr="00EA7C8D">
        <w:rPr>
          <w:rFonts w:ascii="Garamond" w:hAnsi="Garamond"/>
          <w:noProof/>
        </w:rPr>
        <w:t>1.1</w:t>
      </w:r>
      <w:r w:rsidRPr="00EA7C8D">
        <w:rPr>
          <w:rFonts w:ascii="Garamond" w:hAnsi="Garamond"/>
          <w:noProof/>
        </w:rPr>
        <w:tab/>
        <w:t>Premessa</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_Toc356901579 \h </w:instrText>
      </w:r>
      <w:r w:rsidRPr="00EA7C8D">
        <w:rPr>
          <w:rFonts w:ascii="Garamond" w:hAnsi="Garamond"/>
          <w:noProof/>
        </w:rPr>
      </w:r>
      <w:r w:rsidRPr="00EA7C8D">
        <w:rPr>
          <w:rFonts w:ascii="Garamond" w:hAnsi="Garamond"/>
          <w:noProof/>
        </w:rPr>
        <w:fldChar w:fldCharType="separate"/>
      </w:r>
      <w:r>
        <w:rPr>
          <w:rFonts w:ascii="Garamond" w:hAnsi="Garamond"/>
          <w:noProof/>
        </w:rPr>
        <w:t>6</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 xml:space="preserve">1.2 </w:t>
      </w:r>
      <w:r w:rsidRPr="00EA7C8D">
        <w:rPr>
          <w:rFonts w:ascii="Garamond" w:hAnsi="Garamond"/>
          <w:noProof/>
        </w:rPr>
        <w:tab/>
        <w:t>La formazione delle Aree interne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_Toc356901580 \h </w:instrText>
      </w:r>
      <w:r w:rsidRPr="00EA7C8D">
        <w:rPr>
          <w:rFonts w:ascii="Garamond" w:hAnsi="Garamond"/>
          <w:noProof/>
        </w:rPr>
      </w:r>
      <w:r w:rsidRPr="00EA7C8D">
        <w:rPr>
          <w:rFonts w:ascii="Garamond" w:hAnsi="Garamond"/>
          <w:noProof/>
        </w:rPr>
        <w:fldChar w:fldCharType="separate"/>
      </w:r>
      <w:r>
        <w:rPr>
          <w:rFonts w:ascii="Garamond" w:hAnsi="Garamond"/>
          <w:noProof/>
        </w:rPr>
        <w:t>8</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 xml:space="preserve">1.3 </w:t>
      </w:r>
      <w:r w:rsidRPr="00EA7C8D">
        <w:rPr>
          <w:rFonts w:ascii="Garamond" w:hAnsi="Garamond"/>
          <w:noProof/>
        </w:rPr>
        <w:tab/>
        <w:t>Aree interne: condizioni iniziali e potenziale di sviluppo</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_Toc356901581 \h </w:instrText>
      </w:r>
      <w:r w:rsidRPr="00EA7C8D">
        <w:rPr>
          <w:rFonts w:ascii="Garamond" w:hAnsi="Garamond"/>
          <w:noProof/>
        </w:rPr>
      </w:r>
      <w:r w:rsidRPr="00EA7C8D">
        <w:rPr>
          <w:rFonts w:ascii="Garamond" w:hAnsi="Garamond"/>
          <w:noProof/>
        </w:rPr>
        <w:fldChar w:fldCharType="separate"/>
      </w:r>
      <w:r>
        <w:rPr>
          <w:rFonts w:ascii="Garamond" w:hAnsi="Garamond"/>
          <w:noProof/>
        </w:rPr>
        <w:t>9</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 xml:space="preserve">1.4 </w:t>
      </w:r>
      <w:r w:rsidRPr="00EA7C8D">
        <w:rPr>
          <w:rFonts w:ascii="Garamond" w:hAnsi="Garamond"/>
          <w:noProof/>
        </w:rPr>
        <w:tab/>
        <w:t>Aree interne: scenari ‘senza intervento’</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_Toc356901582 \h </w:instrText>
      </w:r>
      <w:r w:rsidRPr="00EA7C8D">
        <w:rPr>
          <w:rFonts w:ascii="Garamond" w:hAnsi="Garamond"/>
          <w:noProof/>
        </w:rPr>
      </w:r>
      <w:r w:rsidRPr="00EA7C8D">
        <w:rPr>
          <w:rFonts w:ascii="Garamond" w:hAnsi="Garamond"/>
          <w:noProof/>
        </w:rPr>
        <w:fldChar w:fldCharType="separate"/>
      </w:r>
      <w:r>
        <w:rPr>
          <w:rFonts w:ascii="Garamond" w:hAnsi="Garamond"/>
          <w:noProof/>
        </w:rPr>
        <w:t>11</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 xml:space="preserve">1.5 </w:t>
      </w:r>
      <w:r w:rsidRPr="00EA7C8D">
        <w:rPr>
          <w:rFonts w:ascii="Garamond" w:hAnsi="Garamond"/>
          <w:noProof/>
        </w:rPr>
        <w:tab/>
        <w:t>Una strategia di sviluppo economico</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_Toc356901583 \h </w:instrText>
      </w:r>
      <w:r w:rsidRPr="00EA7C8D">
        <w:rPr>
          <w:rFonts w:ascii="Garamond" w:hAnsi="Garamond"/>
          <w:noProof/>
        </w:rPr>
      </w:r>
      <w:r w:rsidRPr="00EA7C8D">
        <w:rPr>
          <w:rFonts w:ascii="Garamond" w:hAnsi="Garamond"/>
          <w:noProof/>
        </w:rPr>
        <w:fldChar w:fldCharType="separate"/>
      </w:r>
      <w:r>
        <w:rPr>
          <w:rFonts w:ascii="Garamond" w:hAnsi="Garamond"/>
          <w:noProof/>
        </w:rPr>
        <w:t>13</w:t>
      </w:r>
      <w:r w:rsidRPr="00EA7C8D">
        <w:rPr>
          <w:rFonts w:ascii="Garamond" w:hAnsi="Garamond"/>
          <w:noProof/>
        </w:rPr>
        <w:fldChar w:fldCharType="end"/>
      </w:r>
    </w:p>
    <w:p w:rsidR="006013CA" w:rsidRPr="00EA7C8D" w:rsidRDefault="006013CA">
      <w:pPr>
        <w:pStyle w:val="TOC2"/>
        <w:rPr>
          <w:rFonts w:eastAsia="MS Mincho"/>
          <w:lang w:eastAsia="it-IT"/>
        </w:rPr>
      </w:pPr>
      <w:r w:rsidRPr="001A2B8E">
        <w:t xml:space="preserve">2. </w:t>
      </w:r>
      <w:r w:rsidRPr="00EA7C8D">
        <w:rPr>
          <w:rFonts w:eastAsia="MS Mincho"/>
          <w:lang w:eastAsia="it-IT"/>
        </w:rPr>
        <w:tab/>
      </w:r>
      <w:r w:rsidRPr="001A2B8E">
        <w:t>Aree interne: identificazione e organizzazione territoriale</w:t>
      </w:r>
      <w:r w:rsidRPr="001A2B8E">
        <w:tab/>
      </w:r>
      <w:r w:rsidRPr="001A2B8E">
        <w:fldChar w:fldCharType="begin"/>
      </w:r>
      <w:r w:rsidRPr="001A2B8E">
        <w:instrText xml:space="preserve"> PAGEREF _Toc356901584 \h </w:instrText>
      </w:r>
      <w:r w:rsidRPr="001A2B8E">
        <w:fldChar w:fldCharType="separate"/>
      </w:r>
      <w:r>
        <w:t>18</w:t>
      </w:r>
      <w:r w:rsidRPr="001A2B8E">
        <w:fldChar w:fldCharType="end"/>
      </w:r>
    </w:p>
    <w:p w:rsidR="006013CA" w:rsidRPr="00EA7C8D" w:rsidRDefault="006013CA">
      <w:pPr>
        <w:pStyle w:val="TOC3"/>
        <w:rPr>
          <w:rFonts w:ascii="Garamond" w:hAnsi="Garamond"/>
          <w:noProof/>
        </w:rPr>
      </w:pPr>
      <w:r w:rsidRPr="00EA7C8D">
        <w:rPr>
          <w:rFonts w:ascii="Garamond" w:hAnsi="Garamond"/>
          <w:noProof/>
        </w:rPr>
        <w:t xml:space="preserve">2.1 </w:t>
      </w:r>
      <w:r w:rsidRPr="00EA7C8D">
        <w:rPr>
          <w:rFonts w:ascii="Garamond" w:hAnsi="Garamond"/>
          <w:noProof/>
        </w:rPr>
        <w:tab/>
        <w:t>Identificazione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_Toc356901585 \h </w:instrText>
      </w:r>
      <w:r w:rsidRPr="00EA7C8D">
        <w:rPr>
          <w:rFonts w:ascii="Garamond" w:hAnsi="Garamond"/>
          <w:noProof/>
        </w:rPr>
      </w:r>
      <w:r w:rsidRPr="00EA7C8D">
        <w:rPr>
          <w:rFonts w:ascii="Garamond" w:hAnsi="Garamond"/>
          <w:noProof/>
        </w:rPr>
        <w:fldChar w:fldCharType="separate"/>
      </w:r>
      <w:r>
        <w:rPr>
          <w:rFonts w:ascii="Garamond" w:hAnsi="Garamond"/>
          <w:noProof/>
        </w:rPr>
        <w:t>18</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2.2</w:t>
      </w:r>
      <w:r w:rsidRPr="00EA7C8D">
        <w:rPr>
          <w:rFonts w:ascii="Garamond" w:hAnsi="Garamond"/>
          <w:noProof/>
        </w:rPr>
        <w:tab/>
        <w:t>Andamenti socio-demografici, uso del suolo e “diversità” delle Aree Interne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_Toc356901586 \h </w:instrText>
      </w:r>
      <w:r w:rsidRPr="00EA7C8D">
        <w:rPr>
          <w:rFonts w:ascii="Garamond" w:hAnsi="Garamond"/>
          <w:noProof/>
        </w:rPr>
      </w:r>
      <w:r w:rsidRPr="00EA7C8D">
        <w:rPr>
          <w:rFonts w:ascii="Garamond" w:hAnsi="Garamond"/>
          <w:noProof/>
        </w:rPr>
        <w:fldChar w:fldCharType="separate"/>
      </w:r>
      <w:r>
        <w:rPr>
          <w:rFonts w:ascii="Garamond" w:hAnsi="Garamond"/>
          <w:noProof/>
        </w:rPr>
        <w:t>20</w:t>
      </w:r>
      <w:r w:rsidRPr="00EA7C8D">
        <w:rPr>
          <w:rFonts w:ascii="Garamond" w:hAnsi="Garamond"/>
          <w:noProof/>
        </w:rPr>
        <w:fldChar w:fldCharType="end"/>
      </w:r>
    </w:p>
    <w:p w:rsidR="006013CA" w:rsidRPr="00EA7C8D" w:rsidRDefault="006013CA">
      <w:pPr>
        <w:pStyle w:val="TOC2"/>
        <w:rPr>
          <w:rFonts w:eastAsia="MS Mincho"/>
          <w:lang w:eastAsia="it-IT"/>
        </w:rPr>
      </w:pPr>
      <w:r w:rsidRPr="001A2B8E">
        <w:t xml:space="preserve">3. </w:t>
      </w:r>
      <w:r w:rsidRPr="00EA7C8D">
        <w:rPr>
          <w:rFonts w:eastAsia="MS Mincho"/>
          <w:lang w:eastAsia="it-IT"/>
        </w:rPr>
        <w:tab/>
      </w:r>
      <w:r w:rsidRPr="001A2B8E">
        <w:t>Precondizioni dello sviluppo locale: Scuola; Sanità e Mobilità</w:t>
      </w:r>
      <w:r w:rsidRPr="001A2B8E">
        <w:tab/>
      </w:r>
      <w:r w:rsidRPr="001A2B8E">
        <w:fldChar w:fldCharType="begin"/>
      </w:r>
      <w:r w:rsidRPr="001A2B8E">
        <w:instrText xml:space="preserve"> PAGEREF _Toc356901587 \h </w:instrText>
      </w:r>
      <w:r w:rsidRPr="001A2B8E">
        <w:fldChar w:fldCharType="separate"/>
      </w:r>
      <w:r>
        <w:t>26</w:t>
      </w:r>
      <w:r w:rsidRPr="001A2B8E">
        <w:fldChar w:fldCharType="end"/>
      </w:r>
    </w:p>
    <w:p w:rsidR="006013CA" w:rsidRPr="00EA7C8D" w:rsidRDefault="006013CA">
      <w:pPr>
        <w:pStyle w:val="TOC3"/>
        <w:rPr>
          <w:rFonts w:ascii="Garamond" w:hAnsi="Garamond"/>
          <w:noProof/>
        </w:rPr>
      </w:pPr>
      <w:r w:rsidRPr="00EA7C8D">
        <w:rPr>
          <w:rFonts w:ascii="Garamond" w:hAnsi="Garamond"/>
          <w:noProof/>
        </w:rPr>
        <w:t xml:space="preserve">3.1 </w:t>
      </w:r>
      <w:r w:rsidRPr="00EA7C8D">
        <w:rPr>
          <w:rFonts w:ascii="Garamond" w:hAnsi="Garamond"/>
          <w:noProof/>
        </w:rPr>
        <w:tab/>
        <w:t>Premessa</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_Toc356901588 \h </w:instrText>
      </w:r>
      <w:r w:rsidRPr="00EA7C8D">
        <w:rPr>
          <w:rFonts w:ascii="Garamond" w:hAnsi="Garamond"/>
          <w:noProof/>
        </w:rPr>
      </w:r>
      <w:r w:rsidRPr="00EA7C8D">
        <w:rPr>
          <w:rFonts w:ascii="Garamond" w:hAnsi="Garamond"/>
          <w:noProof/>
        </w:rPr>
        <w:fldChar w:fldCharType="separate"/>
      </w:r>
      <w:r>
        <w:rPr>
          <w:rFonts w:ascii="Garamond" w:hAnsi="Garamond"/>
          <w:noProof/>
        </w:rPr>
        <w:t>26</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 xml:space="preserve">3.2 </w:t>
      </w:r>
      <w:r w:rsidRPr="00EA7C8D">
        <w:rPr>
          <w:rFonts w:ascii="Garamond" w:hAnsi="Garamond"/>
          <w:noProof/>
        </w:rPr>
        <w:tab/>
        <w:t>I servizi per la salute nelle Aree Interne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_Toc356901589 \h </w:instrText>
      </w:r>
      <w:r w:rsidRPr="00EA7C8D">
        <w:rPr>
          <w:rFonts w:ascii="Garamond" w:hAnsi="Garamond"/>
          <w:noProof/>
        </w:rPr>
      </w:r>
      <w:r w:rsidRPr="00EA7C8D">
        <w:rPr>
          <w:rFonts w:ascii="Garamond" w:hAnsi="Garamond"/>
          <w:noProof/>
        </w:rPr>
        <w:fldChar w:fldCharType="separate"/>
      </w:r>
      <w:r>
        <w:rPr>
          <w:rFonts w:ascii="Garamond" w:hAnsi="Garamond"/>
          <w:noProof/>
        </w:rPr>
        <w:t>27</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3.3</w:t>
      </w:r>
      <w:r w:rsidRPr="00EA7C8D">
        <w:rPr>
          <w:rFonts w:ascii="Garamond" w:hAnsi="Garamond"/>
          <w:noProof/>
        </w:rPr>
        <w:tab/>
        <w:t>Il ruolo della scuola nelle Aree Interne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_Toc356901590 \h </w:instrText>
      </w:r>
      <w:r w:rsidRPr="00EA7C8D">
        <w:rPr>
          <w:rFonts w:ascii="Garamond" w:hAnsi="Garamond"/>
          <w:noProof/>
        </w:rPr>
      </w:r>
      <w:r w:rsidRPr="00EA7C8D">
        <w:rPr>
          <w:rFonts w:ascii="Garamond" w:hAnsi="Garamond"/>
          <w:noProof/>
        </w:rPr>
        <w:fldChar w:fldCharType="separate"/>
      </w:r>
      <w:r>
        <w:rPr>
          <w:rFonts w:ascii="Garamond" w:hAnsi="Garamond"/>
          <w:noProof/>
        </w:rPr>
        <w:t>29</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3.4</w:t>
      </w:r>
      <w:r w:rsidRPr="00EA7C8D">
        <w:rPr>
          <w:rFonts w:ascii="Garamond" w:hAnsi="Garamond"/>
          <w:noProof/>
        </w:rPr>
        <w:tab/>
        <w:t>La mobilità nelle e dalle Aree Interne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_Toc356901591 \h </w:instrText>
      </w:r>
      <w:r w:rsidRPr="00EA7C8D">
        <w:rPr>
          <w:rFonts w:ascii="Garamond" w:hAnsi="Garamond"/>
          <w:noProof/>
        </w:rPr>
      </w:r>
      <w:r w:rsidRPr="00EA7C8D">
        <w:rPr>
          <w:rFonts w:ascii="Garamond" w:hAnsi="Garamond"/>
          <w:noProof/>
        </w:rPr>
        <w:fldChar w:fldCharType="separate"/>
      </w:r>
      <w:r>
        <w:rPr>
          <w:rFonts w:ascii="Garamond" w:hAnsi="Garamond"/>
          <w:noProof/>
        </w:rPr>
        <w:t>32</w:t>
      </w:r>
      <w:r w:rsidRPr="00EA7C8D">
        <w:rPr>
          <w:rFonts w:ascii="Garamond" w:hAnsi="Garamond"/>
          <w:noProof/>
        </w:rPr>
        <w:fldChar w:fldCharType="end"/>
      </w:r>
    </w:p>
    <w:p w:rsidR="006013CA" w:rsidRPr="00EA7C8D" w:rsidRDefault="006013CA">
      <w:pPr>
        <w:pStyle w:val="TOC2"/>
        <w:rPr>
          <w:rFonts w:eastAsia="MS Mincho"/>
          <w:lang w:eastAsia="it-IT"/>
        </w:rPr>
      </w:pPr>
      <w:r w:rsidRPr="001A2B8E">
        <w:t xml:space="preserve">4. </w:t>
      </w:r>
      <w:r w:rsidRPr="00EA7C8D">
        <w:rPr>
          <w:rFonts w:eastAsia="MS Mincho"/>
          <w:lang w:eastAsia="it-IT"/>
        </w:rPr>
        <w:tab/>
      </w:r>
      <w:r w:rsidRPr="001A2B8E">
        <w:t>Progettare lo sviluppo locale</w:t>
      </w:r>
      <w:r w:rsidRPr="001A2B8E">
        <w:tab/>
      </w:r>
      <w:r w:rsidRPr="001A2B8E">
        <w:fldChar w:fldCharType="begin"/>
      </w:r>
      <w:r w:rsidRPr="001A2B8E">
        <w:instrText xml:space="preserve"> PAGEREF _Toc356901592 \h </w:instrText>
      </w:r>
      <w:r w:rsidRPr="001A2B8E">
        <w:fldChar w:fldCharType="separate"/>
      </w:r>
      <w:r>
        <w:t>35</w:t>
      </w:r>
      <w:r w:rsidRPr="001A2B8E">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 xml:space="preserve">4.1 </w:t>
      </w:r>
      <w:r w:rsidRPr="00EA7C8D">
        <w:rPr>
          <w:rFonts w:ascii="Garamond" w:eastAsia="MS Mincho" w:hAnsi="Garamond"/>
          <w:noProof/>
          <w:lang w:eastAsia="it-IT"/>
        </w:rPr>
        <w:tab/>
      </w:r>
      <w:r w:rsidRPr="00EA7C8D">
        <w:rPr>
          <w:rFonts w:ascii="Garamond" w:hAnsi="Garamond"/>
          <w:noProof/>
        </w:rPr>
        <w:t>Premessa</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_Toc356901593 \h </w:instrText>
      </w:r>
      <w:r w:rsidRPr="00EA7C8D">
        <w:rPr>
          <w:rFonts w:ascii="Garamond" w:hAnsi="Garamond"/>
          <w:noProof/>
        </w:rPr>
      </w:r>
      <w:r w:rsidRPr="00EA7C8D">
        <w:rPr>
          <w:rFonts w:ascii="Garamond" w:hAnsi="Garamond"/>
          <w:noProof/>
        </w:rPr>
        <w:fldChar w:fldCharType="separate"/>
      </w:r>
      <w:r>
        <w:rPr>
          <w:rFonts w:ascii="Garamond" w:hAnsi="Garamond"/>
          <w:noProof/>
        </w:rPr>
        <w:t>35</w:t>
      </w:r>
      <w:r w:rsidRPr="00EA7C8D">
        <w:rPr>
          <w:rFonts w:ascii="Garamond" w:hAnsi="Garamond"/>
          <w:noProof/>
        </w:rPr>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4.2</w:t>
      </w:r>
      <w:r w:rsidRPr="00EA7C8D">
        <w:rPr>
          <w:rFonts w:ascii="Garamond" w:eastAsia="MS Mincho" w:hAnsi="Garamond"/>
          <w:noProof/>
          <w:lang w:eastAsia="it-IT"/>
        </w:rPr>
        <w:tab/>
      </w:r>
      <w:r w:rsidRPr="00EA7C8D">
        <w:rPr>
          <w:rFonts w:ascii="Garamond" w:hAnsi="Garamond"/>
          <w:noProof/>
        </w:rPr>
        <w:t>Tutela Attiva del Territorio e Comunità Locali</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_Toc356901594 \h </w:instrText>
      </w:r>
      <w:r w:rsidRPr="00EA7C8D">
        <w:rPr>
          <w:rFonts w:ascii="Garamond" w:hAnsi="Garamond"/>
          <w:noProof/>
        </w:rPr>
      </w:r>
      <w:r w:rsidRPr="00EA7C8D">
        <w:rPr>
          <w:rFonts w:ascii="Garamond" w:hAnsi="Garamond"/>
          <w:noProof/>
        </w:rPr>
        <w:fldChar w:fldCharType="separate"/>
      </w:r>
      <w:r>
        <w:rPr>
          <w:rFonts w:ascii="Garamond" w:hAnsi="Garamond"/>
          <w:noProof/>
        </w:rPr>
        <w:t>36</w:t>
      </w:r>
      <w:r w:rsidRPr="00EA7C8D">
        <w:rPr>
          <w:rFonts w:ascii="Garamond" w:hAnsi="Garamond"/>
          <w:noProof/>
        </w:rPr>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4.3</w:t>
      </w:r>
      <w:r w:rsidRPr="00EA7C8D">
        <w:rPr>
          <w:rFonts w:ascii="Garamond" w:eastAsia="MS Mincho" w:hAnsi="Garamond"/>
          <w:noProof/>
          <w:lang w:eastAsia="it-IT"/>
        </w:rPr>
        <w:tab/>
      </w:r>
      <w:r w:rsidRPr="00EA7C8D">
        <w:rPr>
          <w:rFonts w:ascii="Garamond" w:hAnsi="Garamond"/>
          <w:noProof/>
        </w:rPr>
        <w:t>Valorizzazione delle risorse naturali, culturali e del turismo sostenibile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_Toc356901595 \h </w:instrText>
      </w:r>
      <w:r w:rsidRPr="00EA7C8D">
        <w:rPr>
          <w:rFonts w:ascii="Garamond" w:hAnsi="Garamond"/>
          <w:noProof/>
        </w:rPr>
      </w:r>
      <w:r w:rsidRPr="00EA7C8D">
        <w:rPr>
          <w:rFonts w:ascii="Garamond" w:hAnsi="Garamond"/>
          <w:noProof/>
        </w:rPr>
        <w:fldChar w:fldCharType="separate"/>
      </w:r>
      <w:r>
        <w:rPr>
          <w:rFonts w:ascii="Garamond" w:hAnsi="Garamond"/>
          <w:noProof/>
        </w:rPr>
        <w:t>38</w:t>
      </w:r>
      <w:r w:rsidRPr="00EA7C8D">
        <w:rPr>
          <w:rFonts w:ascii="Garamond" w:hAnsi="Garamond"/>
          <w:noProof/>
        </w:rPr>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4.4</w:t>
      </w:r>
      <w:r w:rsidRPr="00EA7C8D">
        <w:rPr>
          <w:rFonts w:ascii="Garamond" w:eastAsia="MS Mincho" w:hAnsi="Garamond"/>
          <w:noProof/>
          <w:lang w:eastAsia="it-IT"/>
        </w:rPr>
        <w:tab/>
      </w:r>
      <w:r w:rsidRPr="00EA7C8D">
        <w:rPr>
          <w:rFonts w:ascii="Garamond" w:hAnsi="Garamond"/>
          <w:noProof/>
        </w:rPr>
        <w:t>Sistemi Agro-Alimentari e Sviluppo Locale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_Toc356901596 \h </w:instrText>
      </w:r>
      <w:r w:rsidRPr="00EA7C8D">
        <w:rPr>
          <w:rFonts w:ascii="Garamond" w:hAnsi="Garamond"/>
          <w:noProof/>
        </w:rPr>
      </w:r>
      <w:r w:rsidRPr="00EA7C8D">
        <w:rPr>
          <w:rFonts w:ascii="Garamond" w:hAnsi="Garamond"/>
          <w:noProof/>
        </w:rPr>
        <w:fldChar w:fldCharType="separate"/>
      </w:r>
      <w:r>
        <w:rPr>
          <w:rFonts w:ascii="Garamond" w:hAnsi="Garamond"/>
          <w:noProof/>
        </w:rPr>
        <w:t>40</w:t>
      </w:r>
      <w:r w:rsidRPr="00EA7C8D">
        <w:rPr>
          <w:rFonts w:ascii="Garamond" w:hAnsi="Garamond"/>
          <w:noProof/>
        </w:rPr>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4.5</w:t>
      </w:r>
      <w:r w:rsidRPr="00EA7C8D">
        <w:rPr>
          <w:rFonts w:ascii="Garamond" w:eastAsia="MS Mincho" w:hAnsi="Garamond"/>
          <w:noProof/>
          <w:lang w:eastAsia="it-IT"/>
        </w:rPr>
        <w:tab/>
      </w:r>
      <w:r w:rsidRPr="00EA7C8D">
        <w:rPr>
          <w:rFonts w:ascii="Garamond" w:hAnsi="Garamond"/>
          <w:noProof/>
        </w:rPr>
        <w:t>Filiere locali di energia rinnovabile</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_Toc356901597 \h </w:instrText>
      </w:r>
      <w:r w:rsidRPr="00EA7C8D">
        <w:rPr>
          <w:rFonts w:ascii="Garamond" w:hAnsi="Garamond"/>
          <w:noProof/>
        </w:rPr>
      </w:r>
      <w:r w:rsidRPr="00EA7C8D">
        <w:rPr>
          <w:rFonts w:ascii="Garamond" w:hAnsi="Garamond"/>
          <w:noProof/>
        </w:rPr>
        <w:fldChar w:fldCharType="separate"/>
      </w:r>
      <w:r>
        <w:rPr>
          <w:rFonts w:ascii="Garamond" w:hAnsi="Garamond"/>
          <w:noProof/>
        </w:rPr>
        <w:t>41</w:t>
      </w:r>
      <w:r w:rsidRPr="00EA7C8D">
        <w:rPr>
          <w:rFonts w:ascii="Garamond" w:hAnsi="Garamond"/>
          <w:noProof/>
        </w:rPr>
        <w:fldChar w:fldCharType="end"/>
      </w:r>
    </w:p>
    <w:p w:rsidR="006013CA" w:rsidRPr="00EA7C8D" w:rsidRDefault="006013CA">
      <w:pPr>
        <w:pStyle w:val="TOC3"/>
        <w:rPr>
          <w:rFonts w:ascii="Garamond" w:eastAsia="MS Mincho" w:hAnsi="Garamond"/>
          <w:noProof/>
          <w:lang w:eastAsia="it-IT"/>
        </w:rPr>
      </w:pPr>
      <w:r w:rsidRPr="00EA7C8D">
        <w:rPr>
          <w:rFonts w:ascii="Garamond" w:hAnsi="Garamond"/>
          <w:noProof/>
        </w:rPr>
        <w:t>4.6</w:t>
      </w:r>
      <w:r w:rsidRPr="00EA7C8D">
        <w:rPr>
          <w:rFonts w:ascii="Garamond" w:eastAsia="MS Mincho" w:hAnsi="Garamond"/>
          <w:noProof/>
          <w:lang w:eastAsia="it-IT"/>
        </w:rPr>
        <w:tab/>
      </w:r>
      <w:r w:rsidRPr="00EA7C8D">
        <w:rPr>
          <w:rFonts w:ascii="Garamond" w:hAnsi="Garamond"/>
          <w:noProof/>
        </w:rPr>
        <w:t>Saper fare e artigianato</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_Toc356901598 \h </w:instrText>
      </w:r>
      <w:r w:rsidRPr="00EA7C8D">
        <w:rPr>
          <w:rFonts w:ascii="Garamond" w:hAnsi="Garamond"/>
          <w:noProof/>
        </w:rPr>
      </w:r>
      <w:r w:rsidRPr="00EA7C8D">
        <w:rPr>
          <w:rFonts w:ascii="Garamond" w:hAnsi="Garamond"/>
          <w:noProof/>
        </w:rPr>
        <w:fldChar w:fldCharType="separate"/>
      </w:r>
      <w:r>
        <w:rPr>
          <w:rFonts w:ascii="Garamond" w:hAnsi="Garamond"/>
          <w:noProof/>
        </w:rPr>
        <w:t>43</w:t>
      </w:r>
      <w:r w:rsidRPr="00EA7C8D">
        <w:rPr>
          <w:rFonts w:ascii="Garamond" w:hAnsi="Garamond"/>
          <w:noProof/>
        </w:rPr>
        <w:fldChar w:fldCharType="end"/>
      </w:r>
    </w:p>
    <w:p w:rsidR="006013CA" w:rsidRPr="00EA7C8D" w:rsidRDefault="006013CA">
      <w:pPr>
        <w:pStyle w:val="TOC2"/>
        <w:rPr>
          <w:rFonts w:eastAsia="MS Mincho"/>
          <w:lang w:eastAsia="it-IT"/>
        </w:rPr>
      </w:pPr>
      <w:r w:rsidRPr="001A2B8E">
        <w:t>5.</w:t>
      </w:r>
      <w:r w:rsidRPr="00EA7C8D">
        <w:rPr>
          <w:rFonts w:eastAsia="MS Mincho"/>
          <w:lang w:eastAsia="it-IT"/>
        </w:rPr>
        <w:tab/>
      </w:r>
      <w:r w:rsidRPr="001A2B8E">
        <w:t>Politica Regionale: opzioni strategiche e soluzioni di Governance</w:t>
      </w:r>
      <w:r w:rsidRPr="001A2B8E">
        <w:tab/>
      </w:r>
      <w:r w:rsidRPr="001A2B8E">
        <w:fldChar w:fldCharType="begin"/>
      </w:r>
      <w:r w:rsidRPr="001A2B8E">
        <w:instrText xml:space="preserve"> PAGEREF _Toc356901599 \h </w:instrText>
      </w:r>
      <w:r w:rsidRPr="001A2B8E">
        <w:fldChar w:fldCharType="separate"/>
      </w:r>
      <w:r>
        <w:t>46</w:t>
      </w:r>
      <w:r w:rsidRPr="001A2B8E">
        <w:fldChar w:fldCharType="end"/>
      </w:r>
    </w:p>
    <w:p w:rsidR="006013CA" w:rsidRPr="00EA7C8D" w:rsidRDefault="006013CA">
      <w:pPr>
        <w:pStyle w:val="TOC3"/>
        <w:rPr>
          <w:rFonts w:ascii="Garamond" w:hAnsi="Garamond"/>
          <w:noProof/>
        </w:rPr>
      </w:pPr>
      <w:r>
        <w:rPr>
          <w:rFonts w:ascii="Garamond" w:hAnsi="Garamond"/>
          <w:noProof/>
        </w:rPr>
        <w:t>5.1</w:t>
      </w:r>
      <w:r>
        <w:rPr>
          <w:rFonts w:ascii="Garamond" w:hAnsi="Garamond"/>
          <w:noProof/>
        </w:rPr>
        <w:tab/>
      </w:r>
      <w:r w:rsidRPr="00EA7C8D">
        <w:rPr>
          <w:rFonts w:ascii="Garamond" w:hAnsi="Garamond"/>
          <w:noProof/>
        </w:rPr>
        <w:t>Premessa</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_Toc356901600 \h </w:instrText>
      </w:r>
      <w:r w:rsidRPr="00EA7C8D">
        <w:rPr>
          <w:rFonts w:ascii="Garamond" w:hAnsi="Garamond"/>
          <w:noProof/>
        </w:rPr>
      </w:r>
      <w:r w:rsidRPr="00EA7C8D">
        <w:rPr>
          <w:rFonts w:ascii="Garamond" w:hAnsi="Garamond"/>
          <w:noProof/>
        </w:rPr>
        <w:fldChar w:fldCharType="separate"/>
      </w:r>
      <w:r>
        <w:rPr>
          <w:rFonts w:ascii="Garamond" w:hAnsi="Garamond"/>
          <w:noProof/>
        </w:rPr>
        <w:t>46</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5.2</w:t>
      </w:r>
      <w:r w:rsidRPr="00EA7C8D">
        <w:rPr>
          <w:rFonts w:ascii="Garamond" w:hAnsi="Garamond"/>
          <w:noProof/>
        </w:rPr>
        <w:tab/>
        <w:t>Le azioni pubbliche aggiuntive da finanziare (innanzitutto) con i fondi comunitari</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_Toc356901601 \h </w:instrText>
      </w:r>
      <w:r w:rsidRPr="00EA7C8D">
        <w:rPr>
          <w:rFonts w:ascii="Garamond" w:hAnsi="Garamond"/>
          <w:noProof/>
        </w:rPr>
      </w:r>
      <w:r w:rsidRPr="00EA7C8D">
        <w:rPr>
          <w:rFonts w:ascii="Garamond" w:hAnsi="Garamond"/>
          <w:noProof/>
        </w:rPr>
        <w:fldChar w:fldCharType="separate"/>
      </w:r>
      <w:r>
        <w:rPr>
          <w:rFonts w:ascii="Garamond" w:hAnsi="Garamond"/>
          <w:noProof/>
        </w:rPr>
        <w:t>48</w:t>
      </w:r>
      <w:r w:rsidRPr="00EA7C8D">
        <w:rPr>
          <w:rFonts w:ascii="Garamond" w:hAnsi="Garamond"/>
          <w:noProof/>
        </w:rPr>
        <w:fldChar w:fldCharType="end"/>
      </w:r>
    </w:p>
    <w:p w:rsidR="006013CA" w:rsidRPr="00EA7C8D" w:rsidRDefault="006013CA">
      <w:pPr>
        <w:pStyle w:val="TOC3"/>
        <w:rPr>
          <w:rFonts w:ascii="Garamond" w:hAnsi="Garamond"/>
          <w:noProof/>
        </w:rPr>
      </w:pPr>
      <w:r w:rsidRPr="00EA7C8D">
        <w:rPr>
          <w:rFonts w:ascii="Garamond" w:hAnsi="Garamond"/>
          <w:noProof/>
        </w:rPr>
        <w:t>5.3</w:t>
      </w:r>
      <w:r w:rsidRPr="00EA7C8D">
        <w:rPr>
          <w:rFonts w:ascii="Garamond" w:hAnsi="Garamond"/>
          <w:noProof/>
        </w:rPr>
        <w:tab/>
        <w:t xml:space="preserve">L’approccio di “Progetto”: per realizzare, apprendere e per creare una </w:t>
      </w:r>
      <w:r>
        <w:rPr>
          <w:rFonts w:ascii="Garamond" w:hAnsi="Garamond"/>
          <w:noProof/>
        </w:rPr>
        <w:t xml:space="preserve">    </w:t>
      </w:r>
      <w:r w:rsidRPr="00EA7C8D">
        <w:rPr>
          <w:rFonts w:ascii="Garamond" w:hAnsi="Garamond"/>
          <w:noProof/>
        </w:rPr>
        <w:t>collaborazione attiva</w:t>
      </w:r>
      <w:r w:rsidRPr="00EA7C8D">
        <w:rPr>
          <w:rFonts w:ascii="Garamond" w:hAnsi="Garamond"/>
          <w:noProof/>
        </w:rPr>
        <w:tab/>
      </w:r>
      <w:r w:rsidRPr="00EA7C8D">
        <w:rPr>
          <w:rFonts w:ascii="Garamond" w:hAnsi="Garamond"/>
          <w:noProof/>
        </w:rPr>
        <w:fldChar w:fldCharType="begin"/>
      </w:r>
      <w:r w:rsidRPr="00EA7C8D">
        <w:rPr>
          <w:rFonts w:ascii="Garamond" w:hAnsi="Garamond"/>
          <w:noProof/>
        </w:rPr>
        <w:instrText xml:space="preserve"> PAGEREF _Toc356901602 \h </w:instrText>
      </w:r>
      <w:r w:rsidRPr="00EA7C8D">
        <w:rPr>
          <w:rFonts w:ascii="Garamond" w:hAnsi="Garamond"/>
          <w:noProof/>
        </w:rPr>
      </w:r>
      <w:r w:rsidRPr="00EA7C8D">
        <w:rPr>
          <w:rFonts w:ascii="Garamond" w:hAnsi="Garamond"/>
          <w:noProof/>
        </w:rPr>
        <w:fldChar w:fldCharType="separate"/>
      </w:r>
      <w:r>
        <w:rPr>
          <w:rFonts w:ascii="Garamond" w:hAnsi="Garamond"/>
          <w:noProof/>
        </w:rPr>
        <w:t>51</w:t>
      </w:r>
      <w:r w:rsidRPr="00EA7C8D">
        <w:rPr>
          <w:rFonts w:ascii="Garamond" w:hAnsi="Garamond"/>
          <w:noProof/>
        </w:rPr>
        <w:fldChar w:fldCharType="end"/>
      </w:r>
    </w:p>
    <w:p w:rsidR="006013CA" w:rsidRDefault="006013CA">
      <w:pPr>
        <w:spacing w:before="120" w:after="0" w:line="240" w:lineRule="auto"/>
      </w:pPr>
      <w:r w:rsidRPr="001A2B8E">
        <w:rPr>
          <w:sz w:val="24"/>
          <w:szCs w:val="24"/>
        </w:rPr>
        <w:fldChar w:fldCharType="end"/>
      </w:r>
    </w:p>
    <w:p w:rsidR="006013CA" w:rsidRDefault="006013CA">
      <w:pPr>
        <w:spacing w:after="0" w:line="240" w:lineRule="auto"/>
        <w:jc w:val="left"/>
        <w:rPr>
          <w:sz w:val="24"/>
          <w:szCs w:val="24"/>
        </w:rPr>
      </w:pPr>
      <w:r>
        <w:rPr>
          <w:sz w:val="24"/>
          <w:szCs w:val="24"/>
        </w:rPr>
        <w:br w:type="page"/>
      </w:r>
    </w:p>
    <w:p w:rsidR="006013CA" w:rsidRPr="00320FD6" w:rsidRDefault="006013CA" w:rsidP="00320FD6">
      <w:pPr>
        <w:spacing w:line="240" w:lineRule="auto"/>
        <w:rPr>
          <w:sz w:val="24"/>
          <w:szCs w:val="24"/>
        </w:rPr>
      </w:pPr>
    </w:p>
    <w:p w:rsidR="006013CA" w:rsidRDefault="006013CA" w:rsidP="00FC4230">
      <w:pPr>
        <w:spacing w:line="240" w:lineRule="auto"/>
        <w:jc w:val="center"/>
        <w:rPr>
          <w:b/>
          <w:sz w:val="24"/>
          <w:szCs w:val="24"/>
        </w:rPr>
      </w:pPr>
    </w:p>
    <w:p w:rsidR="006013CA" w:rsidRDefault="006013CA" w:rsidP="00FC4230">
      <w:pPr>
        <w:spacing w:line="240" w:lineRule="auto"/>
        <w:jc w:val="center"/>
        <w:rPr>
          <w:b/>
          <w:sz w:val="24"/>
          <w:szCs w:val="24"/>
        </w:rPr>
        <w:sectPr w:rsidR="006013CA" w:rsidSect="00DF15BC">
          <w:footerReference w:type="default" r:id="rId8"/>
          <w:pgSz w:w="11906" w:h="16838"/>
          <w:pgMar w:top="1985" w:right="1701" w:bottom="1701" w:left="1701" w:header="709" w:footer="709" w:gutter="0"/>
          <w:cols w:space="708"/>
          <w:docGrid w:linePitch="360"/>
        </w:sectPr>
      </w:pPr>
    </w:p>
    <w:p w:rsidR="006013CA" w:rsidRPr="00EA7C8D" w:rsidRDefault="006013CA" w:rsidP="00EA7C8D">
      <w:pPr>
        <w:pStyle w:val="Heading2"/>
        <w:spacing w:before="0" w:after="360" w:line="240" w:lineRule="auto"/>
        <w:rPr>
          <w:rFonts w:ascii="Garamond" w:hAnsi="Garamond"/>
        </w:rPr>
      </w:pPr>
      <w:bookmarkStart w:id="0" w:name="_Toc356901577"/>
      <w:r w:rsidRPr="00EA7C8D">
        <w:rPr>
          <w:rFonts w:ascii="Garamond" w:hAnsi="Garamond"/>
        </w:rPr>
        <w:t>Introduzione (da riscrivere alla fine)</w:t>
      </w:r>
      <w:bookmarkEnd w:id="0"/>
    </w:p>
    <w:p w:rsidR="006013CA" w:rsidRDefault="006013CA">
      <w:pPr>
        <w:spacing w:after="0" w:line="240" w:lineRule="auto"/>
        <w:jc w:val="left"/>
        <w:rPr>
          <w:lang w:eastAsia="it-IT"/>
        </w:rPr>
      </w:pPr>
      <w:r>
        <w:rPr>
          <w:lang w:eastAsia="it-IT"/>
        </w:rPr>
        <w:br w:type="page"/>
      </w:r>
    </w:p>
    <w:p w:rsidR="006013CA" w:rsidRPr="00EA7C8D" w:rsidRDefault="006013CA" w:rsidP="00EA7C8D">
      <w:pPr>
        <w:pStyle w:val="Heading2"/>
        <w:spacing w:before="0" w:after="360" w:line="240" w:lineRule="auto"/>
        <w:rPr>
          <w:rFonts w:ascii="Garamond" w:hAnsi="Garamond"/>
        </w:rPr>
      </w:pPr>
      <w:bookmarkStart w:id="1" w:name="_Toc356901578"/>
      <w:r w:rsidRPr="00EA7C8D">
        <w:rPr>
          <w:rFonts w:ascii="Garamond" w:hAnsi="Garamond"/>
        </w:rPr>
        <w:t xml:space="preserve">1. </w:t>
      </w:r>
      <w:r w:rsidRPr="00EA7C8D">
        <w:rPr>
          <w:rFonts w:ascii="Garamond" w:hAnsi="Garamond"/>
        </w:rPr>
        <w:tab/>
        <w:t>Le Aree interne: crescita e sviluppo economico</w:t>
      </w:r>
      <w:bookmarkEnd w:id="1"/>
    </w:p>
    <w:p w:rsidR="006013CA" w:rsidRPr="00EA7C8D" w:rsidRDefault="006013CA" w:rsidP="00EA7C8D">
      <w:pPr>
        <w:pStyle w:val="Heading3"/>
        <w:spacing w:before="0" w:after="240" w:line="240" w:lineRule="auto"/>
        <w:jc w:val="left"/>
        <w:rPr>
          <w:b/>
          <w:sz w:val="24"/>
          <w:szCs w:val="24"/>
        </w:rPr>
      </w:pPr>
      <w:bookmarkStart w:id="2" w:name="_Toc356901579"/>
      <w:r w:rsidRPr="00EA7C8D">
        <w:rPr>
          <w:b/>
          <w:sz w:val="24"/>
          <w:szCs w:val="24"/>
        </w:rPr>
        <w:t>1.1</w:t>
      </w:r>
      <w:r>
        <w:rPr>
          <w:b/>
          <w:sz w:val="24"/>
          <w:szCs w:val="24"/>
        </w:rPr>
        <w:tab/>
      </w:r>
      <w:r w:rsidRPr="00EA7C8D">
        <w:rPr>
          <w:b/>
          <w:sz w:val="24"/>
          <w:szCs w:val="24"/>
        </w:rPr>
        <w:t>Premessa</w:t>
      </w:r>
      <w:bookmarkEnd w:id="2"/>
    </w:p>
    <w:p w:rsidR="006013CA" w:rsidRDefault="006013CA" w:rsidP="00EA7C8D">
      <w:pPr>
        <w:spacing w:after="120" w:line="240" w:lineRule="auto"/>
      </w:pPr>
      <w:r w:rsidRPr="00A269F3">
        <w:t>Una parte maggioritaria del territorio italiano è caratterizzata dalla aggregazione dei cittadini in centri minori, anche assai piccoli, spesso con limitata accessibilità a servizi essenziali. La “specificità”</w:t>
      </w:r>
      <w:r>
        <w:t xml:space="preserve"> e separatezza</w:t>
      </w:r>
      <w:r w:rsidRPr="00A269F3">
        <w:t xml:space="preserve"> di questo modo di vita è colta definendo questi territori “aree interne”, interne rispetto alle aree (per lo più pianeggianti) dei grandi e medi centri urbani e alle loro reti di collegamento. Si tratta di aree caratterizzate da importanti risorse ambientali (foreste, aree protette, produzioni agricole e agro-alimentari) e culturali (beni archeologici, abbazie, piccoli musei, centri di mestiere) fortemente diversificate, come risultato di aspetti naturali originali e di lunghi e diversi processi di antropizzazione.</w:t>
      </w:r>
    </w:p>
    <w:p w:rsidR="006013CA" w:rsidRDefault="006013CA" w:rsidP="00EA7C8D">
      <w:pPr>
        <w:spacing w:after="120" w:line="240" w:lineRule="auto"/>
      </w:pPr>
      <w:r w:rsidRPr="00A95A49">
        <w:t>Un</w:t>
      </w:r>
      <w:r>
        <w:t>a parte rilevante delle aree interne</w:t>
      </w:r>
      <w:r w:rsidRPr="00A95A49">
        <w:t xml:space="preserve"> ha subito dal 1950 un </w:t>
      </w:r>
      <w:r>
        <w:t>rilevante</w:t>
      </w:r>
      <w:r w:rsidRPr="00A95A49">
        <w:t xml:space="preserve"> processo di </w:t>
      </w:r>
      <w:r w:rsidRPr="00A95A49">
        <w:rPr>
          <w:i/>
        </w:rPr>
        <w:t>marginalizzazione</w:t>
      </w:r>
      <w:r w:rsidRPr="00A95A49">
        <w:t>. Esso si è manifestato, innanzitutto, attraverso intensi fenomeni di de-antropizzazione: a) riduzione sotto la soglia critica e invecchiamento della popolazione; b) riduzione dell’occupazione e del grado di utilizzo del capitale territoriale. Secondariamente, esso si è manifestato nella progressiva riduzione quantitativa e qualitativa dell’offerta locale di servizi pubblici, privati e collettivi</w:t>
      </w:r>
      <w:r>
        <w:t xml:space="preserve"> </w:t>
      </w:r>
      <w:r w:rsidRPr="00FC1248">
        <w:t>– dei servizi, cioè, che definiscono la qualità della cittadinanza.</w:t>
      </w:r>
      <w:r>
        <w:t xml:space="preserve"> </w:t>
      </w:r>
    </w:p>
    <w:p w:rsidR="006013CA" w:rsidRDefault="006013CA" w:rsidP="00EA7C8D">
      <w:pPr>
        <w:spacing w:after="120" w:line="240" w:lineRule="auto"/>
      </w:pPr>
      <w:r w:rsidRPr="00A269F3">
        <w:t>Alcuni soggetti, che oggi potremmo definire come “nemici delle aree interne”, hanno giovato – e si sono costruiti rendite - di questo processo di marginalizzazione, si tratta di coloro che hanno estratto risorse anziché innovare: discariche, cave, progetti per l’energia eolica o le biomasse che non hanno lasciato alcun ritorno per il territorio dove sono stati realizzati, e ogni altro utilizzo di questi territori ai quali le amministrazioni locali si assoggettano perché in condizioni negoziali rese deboli dalle scarse fonti di finanziamento. Ci sono anche forse nemici non intenzionali, quali quei soggetti fautori di un comunitarismo locale e chiuso verso soggetti portatori di innovazioni e di ponti verso altre Comunità e altri territori.</w:t>
      </w:r>
      <w:r w:rsidRPr="00EA7C8D">
        <w:t xml:space="preserve"> </w:t>
      </w:r>
      <w:r w:rsidRPr="00CF7EB9">
        <w:t>Va pertanto considerato che, tra gli</w:t>
      </w:r>
      <w:r>
        <w:t xml:space="preserve"> elementi di contesto, esistono forze che volontariamente o involontariamente favoriscono o assecondano questi processi di marginalizzazione, pur non essendone le primarie determinanti.</w:t>
      </w:r>
    </w:p>
    <w:p w:rsidR="006013CA" w:rsidRDefault="006013CA" w:rsidP="00EA7C8D">
      <w:pPr>
        <w:spacing w:after="120" w:line="240" w:lineRule="auto"/>
      </w:pPr>
      <w:r>
        <w:t xml:space="preserve">Ma la marginalizzazione non è stata omogenea e ha conosciuto rilevanti eccezioni. In alcune aree interne: a) le risorse ambientali e culturali sono state valorizzate, b) sono stati realizzati servizi in favore di pluralità di comuni e c) la popolazione è rimasta stabile o è cresciuta </w:t>
      </w:r>
      <w:r w:rsidRPr="00A269F3">
        <w:t>(cfr. Tabella 1, Capitolo 2.2)</w:t>
      </w:r>
      <w:r w:rsidRPr="00CF7EB9">
        <w:t>.</w:t>
      </w:r>
      <w:r>
        <w:t xml:space="preserve"> Questi dati segnalano che ci sono numerosi casi in Italia in cui la buona gestione delle Autorità Locale ha effettivamente saputo fare la differenza. Appare quindi possibile contrastare i processi di marginalizzazione, ma è necessario comprenderne e valorizzarne i meccanismi possibili.</w:t>
      </w:r>
    </w:p>
    <w:p w:rsidR="006013CA" w:rsidRPr="00A95A49" w:rsidRDefault="006013CA" w:rsidP="00EA7C8D">
      <w:pPr>
        <w:spacing w:after="120" w:line="240" w:lineRule="auto"/>
      </w:pPr>
      <w:r w:rsidRPr="00A95A49">
        <w:t>Negli anni del decollo industriale e dello sviluppo economico in Italia si sono manifestate due fondamentali dinamiche di convergenza/divergenza territoriale: (a) le differenze nelle traiettorie di sviluppo economico tra macro-regioni (Nord-Sud, Nord-Centro-Sud) e (b) le differenze nelle traiettorie di sviluppo all’interno di ciascuna regione e macro-regioni. L</w:t>
      </w:r>
      <w:r>
        <w:t>a</w:t>
      </w:r>
      <w:r w:rsidRPr="00A95A49">
        <w:t xml:space="preserve"> </w:t>
      </w:r>
      <w:r>
        <w:t xml:space="preserve">convergenza/ divergenza </w:t>
      </w:r>
      <w:r w:rsidRPr="00A95A49">
        <w:t xml:space="preserve">nelle </w:t>
      </w:r>
      <w:r>
        <w:t xml:space="preserve">traiettorie di crescita </w:t>
      </w:r>
      <w:r w:rsidRPr="00A95A49">
        <w:t xml:space="preserve">macro-regionali sono state al centro del discorso pubblico nazionale, mentre le rilevanti differenze che si stavano manifestando all’interno delle macro-regioni </w:t>
      </w:r>
      <w:r>
        <w:t xml:space="preserve">tra aree centrali e periferiche </w:t>
      </w:r>
      <w:r w:rsidRPr="00A95A49">
        <w:t>è rimasta una questione locale</w:t>
      </w:r>
      <w:r>
        <w:t xml:space="preserve"> o regionale</w:t>
      </w:r>
      <w:r w:rsidRPr="00A95A49">
        <w:t>.</w:t>
      </w:r>
      <w:r w:rsidRPr="00275470">
        <w:t xml:space="preserve"> </w:t>
      </w:r>
      <w:r>
        <w:t>Come tale, essa è stata poco affrontata nelle sue conseguenze e nelle sue occasioni su scala sistemica.</w:t>
      </w:r>
    </w:p>
    <w:p w:rsidR="006013CA" w:rsidRDefault="006013CA" w:rsidP="00EA7C8D">
      <w:pPr>
        <w:spacing w:after="120" w:line="240" w:lineRule="auto"/>
      </w:pPr>
      <w:r w:rsidRPr="00A269F3">
        <w:t>Per diverse e importanti ragioni, in Italia le “Aree interne” devono oggi tornare a essere considerate una “questione nazionale”</w:t>
      </w:r>
      <w:r>
        <w:t>, anzi un asse èportante del rilancio del paese. In primo luogo, il fenomeno della marginalità riguarda una quota elevata della popolazione che potrebbe beneficiare in modo notevole di un utilizzo diverso delle risorse disponibili. Inoltre, una p</w:t>
      </w:r>
      <w:r w:rsidRPr="00A269F3">
        <w:t>arte d</w:t>
      </w:r>
      <w:r>
        <w:t>i queste a</w:t>
      </w:r>
      <w:r w:rsidRPr="00A269F3">
        <w:t xml:space="preserve">ree  </w:t>
      </w:r>
      <w:r>
        <w:t>è</w:t>
      </w:r>
      <w:r w:rsidRPr="00A269F3">
        <w:t xml:space="preserve"> caratterizzat</w:t>
      </w:r>
      <w:r>
        <w:t>a</w:t>
      </w:r>
      <w:r w:rsidRPr="00A269F3">
        <w:t xml:space="preserve"> da processi di produzione e investimento che, generano ingenti costi sociali che travalicano queste aree. Infine</w:t>
      </w:r>
      <w:r>
        <w:t xml:space="preserve"> il</w:t>
      </w:r>
      <w:r w:rsidRPr="00A269F3">
        <w:t xml:space="preserve"> più basso grado di accessibilità ai beni di base – sanità, istruzione, mobilità –limita</w:t>
      </w:r>
      <w:r>
        <w:t>ndo</w:t>
      </w:r>
      <w:r w:rsidRPr="00A269F3">
        <w:t xml:space="preserve"> il campo di scelta e di opportunità degli individui</w:t>
      </w:r>
      <w:r>
        <w:t>, li</w:t>
      </w:r>
      <w:r w:rsidRPr="00A269F3">
        <w:t xml:space="preserve"> spinge all’abbandono con ulteriori conseguenti costi sistemici.</w:t>
      </w:r>
      <w:r w:rsidRPr="00CF7EB9">
        <w:t xml:space="preserve"> </w:t>
      </w:r>
      <w:r>
        <w:t xml:space="preserve"> </w:t>
      </w:r>
    </w:p>
    <w:p w:rsidR="006013CA" w:rsidRDefault="006013CA" w:rsidP="00EA7C8D">
      <w:pPr>
        <w:spacing w:after="120" w:line="240" w:lineRule="auto"/>
      </w:pPr>
      <w:r>
        <w:t>Esperienze e traiettorie realizzate segnalano che alternative al declino sono possibili e invitano dunque a un forte impegno nazionale che includa l’organizzazione di servizi fondamentali quali istruzione, salute e mobilità.</w:t>
      </w:r>
      <w:r w:rsidDel="002934DF">
        <w:t xml:space="preserve"> </w:t>
      </w:r>
    </w:p>
    <w:p w:rsidR="006013CA" w:rsidRDefault="006013CA" w:rsidP="00EA7C8D">
      <w:pPr>
        <w:spacing w:after="120" w:line="240" w:lineRule="auto"/>
      </w:pPr>
      <w:r>
        <w:t>L’azione deve essere ampia, trovare una convinta collaborazione tra diversi livelli di responsabilità e governo, e porsi obiettivi di medio periodo chiari in termini di valorizzazione del potenziale non utilizzato, ma al contempo deve affrontare sempre anche il tema di fondo che riguarda le forze e le scelte che hanno provocato e ancora sostengono i trend di marginalizzazione ed esclusione. Deve quindi essere, al contempo, una strategia di valorizzazione e una strategia di costruzione delle condizioni indispensabili per cui la valorizzazione possa essere concepita.</w:t>
      </w:r>
    </w:p>
    <w:p w:rsidR="006013CA" w:rsidRDefault="006013CA" w:rsidP="00EA7C8D">
      <w:pPr>
        <w:spacing w:after="120" w:line="240" w:lineRule="auto"/>
      </w:pPr>
    </w:p>
    <w:p w:rsidR="006013CA" w:rsidRPr="00EA7C8D" w:rsidRDefault="006013CA" w:rsidP="00EA7C8D">
      <w:pPr>
        <w:pStyle w:val="Heading3"/>
        <w:spacing w:before="0" w:after="240" w:line="240" w:lineRule="auto"/>
        <w:jc w:val="left"/>
        <w:rPr>
          <w:b/>
          <w:sz w:val="24"/>
          <w:szCs w:val="24"/>
        </w:rPr>
      </w:pPr>
      <w:bookmarkStart w:id="3" w:name="_Toc356901580"/>
      <w:r w:rsidRPr="00EA7C8D">
        <w:rPr>
          <w:b/>
          <w:sz w:val="24"/>
          <w:szCs w:val="24"/>
        </w:rPr>
        <w:t xml:space="preserve">1.2 </w:t>
      </w:r>
      <w:r>
        <w:rPr>
          <w:b/>
          <w:sz w:val="24"/>
          <w:szCs w:val="24"/>
        </w:rPr>
        <w:tab/>
      </w:r>
      <w:r w:rsidRPr="00EA7C8D">
        <w:rPr>
          <w:b/>
          <w:sz w:val="24"/>
          <w:szCs w:val="24"/>
        </w:rPr>
        <w:t>La formazione delle Aree interne</w:t>
      </w:r>
      <w:bookmarkEnd w:id="3"/>
      <w:r w:rsidRPr="00EA7C8D">
        <w:rPr>
          <w:b/>
          <w:sz w:val="24"/>
          <w:szCs w:val="24"/>
        </w:rPr>
        <w:t xml:space="preserve"> </w:t>
      </w:r>
    </w:p>
    <w:p w:rsidR="006013CA" w:rsidRPr="00034E57" w:rsidRDefault="006013CA" w:rsidP="00EA7C8D">
      <w:pPr>
        <w:spacing w:after="120" w:line="240" w:lineRule="auto"/>
        <w:rPr>
          <w:lang w:eastAsia="it-IT"/>
        </w:rPr>
      </w:pPr>
      <w:r w:rsidRPr="00034E57">
        <w:rPr>
          <w:lang w:eastAsia="it-IT"/>
        </w:rPr>
        <w:t xml:space="preserve">Nel secondo dopoguerra l’Italia ha iniziato una traiettoria di industrializzazione e di crescita economica molto intensa. Da un punto di vista territoriale la crescita economica è stata allo stesso tempo “diffusa” e “polarizzata”. È stata “diffusa” perché si è manifestata in un numero molto elevato di sistemi locali del territorio italiano. È stata “polarizzata” perché: a) si è manifestata soltanto in una parte dei sistemi locali; b) tra i sistemi locali che sono cresciuti vi sono state straordinarie differenze nell’intensità della crescita. </w:t>
      </w:r>
    </w:p>
    <w:p w:rsidR="006013CA" w:rsidRPr="007960B4" w:rsidRDefault="006013CA" w:rsidP="00EA7C8D">
      <w:pPr>
        <w:spacing w:after="120" w:line="240" w:lineRule="auto"/>
        <w:rPr>
          <w:lang w:eastAsia="it-IT"/>
        </w:rPr>
      </w:pPr>
      <w:r w:rsidRPr="007960B4">
        <w:rPr>
          <w:lang w:eastAsia="it-IT"/>
        </w:rPr>
        <w:t>Il modello territoriale della “diffusione polarizzata” della crescita economica ha riguardato gran parte territorio italiano. In tutte le regioni – anche in quelle che hanno seguito una traiettoria di industrializzazione particolarmente accelerata – un numero molto elevato di sistemi locali (comuni e sistemi in</w:t>
      </w:r>
      <w:r>
        <w:rPr>
          <w:lang w:eastAsia="it-IT"/>
        </w:rPr>
        <w:t xml:space="preserve">tercomunali) ha subito </w:t>
      </w:r>
      <w:r w:rsidRPr="007960B4">
        <w:rPr>
          <w:lang w:eastAsia="it-IT"/>
        </w:rPr>
        <w:t>una forte (o drammatica) decrescita economica e demografica e una consistente riduzione del grado di utilizzo del capitale territoriale. Anche in regioni come l’Emilia Romagna, il Piemonte e la Lombardia – nelle quali l’industrializzazione e la crescita economica si sono manifestati in forme esemplari – sono avvenuti intensi processi di polarizzazione delle attività economiche.</w:t>
      </w:r>
    </w:p>
    <w:p w:rsidR="006013CA" w:rsidRPr="007960B4" w:rsidRDefault="006013CA" w:rsidP="00EA7C8D">
      <w:pPr>
        <w:spacing w:after="120" w:line="240" w:lineRule="auto"/>
        <w:rPr>
          <w:lang w:eastAsia="it-IT"/>
        </w:rPr>
      </w:pPr>
      <w:r w:rsidRPr="007960B4">
        <w:rPr>
          <w:lang w:eastAsia="it-IT"/>
        </w:rPr>
        <w:t xml:space="preserve">Alla fine degli anni Ottanta, dopo quattro decenni di intenso sviluppo economico nazionale, l’Italia era caratterizzata dalla presenza di un vasto territorio che aveva, però, alle spalle una complessa fase di decrescita economica e demografica. </w:t>
      </w:r>
    </w:p>
    <w:p w:rsidR="006013CA" w:rsidRPr="007960B4" w:rsidRDefault="006013CA" w:rsidP="00EA7C8D">
      <w:pPr>
        <w:spacing w:after="120" w:line="240" w:lineRule="auto"/>
        <w:rPr>
          <w:lang w:eastAsia="it-IT"/>
        </w:rPr>
      </w:pPr>
      <w:r w:rsidRPr="007960B4">
        <w:rPr>
          <w:lang w:eastAsia="it-IT"/>
        </w:rPr>
        <w:t>Nel discorso pubblico italiano la formazione di un vasto territorio de-antropizzato – e con una parte consistente del capitale territoriale in dis-uso – è stata fortemente sottovalutata fino agli anni Ottanta. L’interpretazione macro-regionale che si è consolidata negli anni Ottanta – “Sud”, “Centro” e “Nord” – ha fatto passare in secondo piano il tema delle aree interne. La decrescita di parte del territorio italiano ha attratto molta meno attenzione – politica e analitica – della crescita.</w:t>
      </w:r>
      <w:r>
        <w:rPr>
          <w:lang w:eastAsia="it-IT"/>
        </w:rPr>
        <w:t xml:space="preserve"> E così hanno catturato poca attenzione i casi pur rilevanti di Aree Interne in crescita.</w:t>
      </w:r>
      <w:r w:rsidRPr="007960B4">
        <w:rPr>
          <w:lang w:eastAsia="it-IT"/>
        </w:rPr>
        <w:t xml:space="preserve"> Soltanto lo spostamento di attenzione dallo sviluppo regionale allo sviluppo locale ha permesso un’interpretazione più appropriata del territorio italiano. Attraverso il concetto di sistema locale si sono messi a fuoco territori, temi e problemi che il concetto di “regione” – definito in termini amministrativi – nascondeva o omologava. Attraverso il concetto di “sistema locale” (comunque definito) le aree interne sono diventate “visibili” nella loro specificità e nella loro articolazione territoriale. </w:t>
      </w:r>
    </w:p>
    <w:p w:rsidR="006013CA" w:rsidRPr="007960B4" w:rsidRDefault="006013CA" w:rsidP="00EA7C8D">
      <w:pPr>
        <w:spacing w:after="120" w:line="240" w:lineRule="auto"/>
        <w:rPr>
          <w:lang w:eastAsia="it-IT"/>
        </w:rPr>
      </w:pPr>
      <w:r w:rsidRPr="007960B4">
        <w:rPr>
          <w:lang w:eastAsia="it-IT"/>
        </w:rPr>
        <w:t xml:space="preserve">Un’altra causa dello scarso interesse che le aree interne hanno attratto consiste nel fatto che esse hanno subito una decrescita “socialmente sostenibile”. La sostenibilità del declino può essere ricondotta principalmente a tre fattori. In primo luogo, la riduzione di popolazione attraverso l’emigrazione aveva condotto nel settore agricolo a una riduzione della disoccupazione nascosta e all’abbandono di terreni a bassa produttività, aumentando, di fatto, il reddito di chi rimaneva. Secondariamente, il consolidamento di un sistema pensionistico redistributivo a livello nazionale – uno degli elementi del più vasto progetto di “stato sociale” che ha caratterizzato l’Italia (e l’Europa) sino agli anni Novanta – ha consentito anche nei territori deboli (con “tassi di attività” che si riducevano) un flusso di reddito significativo, che cresceva a livello locale con l’invecchiamento demografico. </w:t>
      </w:r>
      <w:r w:rsidRPr="00A269F3">
        <w:rPr>
          <w:lang w:eastAsia="it-IT"/>
        </w:rPr>
        <w:t xml:space="preserve">Terzo la prevalenza imitativa del modello città-centrico e l’idea che solo le città potessero essere considerate poli potenziali di crescita, idea particolarmente fuorviante in un modello policentrico come quello Italiano. </w:t>
      </w:r>
    </w:p>
    <w:p w:rsidR="006013CA" w:rsidRPr="007960B4" w:rsidRDefault="006013CA" w:rsidP="00EA7C8D">
      <w:pPr>
        <w:spacing w:after="120" w:line="240" w:lineRule="auto"/>
        <w:rPr>
          <w:lang w:eastAsia="it-IT"/>
        </w:rPr>
      </w:pPr>
      <w:r w:rsidRPr="007960B4">
        <w:rPr>
          <w:lang w:eastAsia="it-IT"/>
        </w:rPr>
        <w:t>Un altro fondamentale fattore di resistenza è stato la persistenza di forme di agricoltura in spazi geografici marginali – effetto indiretto e inatteso delle stesse politiche agricole comunitarie (la politica dei prezzi di sostegno alle produzioni come forma di sostegno ai redditi agricoli) – che ha reso più lenta e socialmente sopportabile la decrescita.</w:t>
      </w:r>
    </w:p>
    <w:p w:rsidR="006013CA" w:rsidRPr="007960B4" w:rsidRDefault="006013CA" w:rsidP="00EA7C8D">
      <w:pPr>
        <w:spacing w:after="120" w:line="240" w:lineRule="auto"/>
        <w:rPr>
          <w:lang w:eastAsia="it-IT"/>
        </w:rPr>
      </w:pPr>
      <w:r w:rsidRPr="007960B4">
        <w:rPr>
          <w:lang w:eastAsia="it-IT"/>
        </w:rPr>
        <w:t>La nascita di poli industriali anche nelle aree interne è stato un altro fattore che ha reso più lento e sostenibile il declino. Benché “sostenibile”, il declino ha comunque determinato un’evoluzione socio-economica de</w:t>
      </w:r>
      <w:r>
        <w:rPr>
          <w:lang w:eastAsia="it-IT"/>
        </w:rPr>
        <w:t>i molte</w:t>
      </w:r>
      <w:r w:rsidRPr="007960B4">
        <w:rPr>
          <w:lang w:eastAsia="it-IT"/>
        </w:rPr>
        <w:t xml:space="preserve"> “Aree interne” profondamente irrazionale da una prospettiva nazionale e non solo locale. Inoltre, ha generato “strutture socio-economiche” molto fragili, a costante rischio di collasso.</w:t>
      </w:r>
    </w:p>
    <w:p w:rsidR="006013CA" w:rsidRDefault="006013CA" w:rsidP="00EA7C8D">
      <w:pPr>
        <w:spacing w:after="120" w:line="240" w:lineRule="auto"/>
      </w:pPr>
      <w:r w:rsidRPr="00A95A49">
        <w:t xml:space="preserve">I costi sociali di un </w:t>
      </w:r>
      <w:r w:rsidRPr="00A95A49">
        <w:rPr>
          <w:i/>
        </w:rPr>
        <w:t>collasso socio-economico</w:t>
      </w:r>
      <w:r w:rsidRPr="00A95A49">
        <w:t xml:space="preserve"> di queste aree, diventate più fragili come conseguenza dei riflessi economici locali delle difficoltà dell’economia italiana nell’ultimo decennio, sarebbero molto elevati. Allo stesso tempo, il non utilizzo del capitale territoriale delle “Aree interne” è socialmente irrazionale (anche in considerazione dell’elevata attuale disoccupazione presente nello spazio nazionale).</w:t>
      </w:r>
    </w:p>
    <w:p w:rsidR="006013CA" w:rsidRDefault="006013CA" w:rsidP="00EA7C8D">
      <w:pPr>
        <w:spacing w:after="120" w:line="240" w:lineRule="auto"/>
        <w:rPr>
          <w:szCs w:val="28"/>
          <w:lang w:eastAsia="it-IT"/>
        </w:rPr>
      </w:pPr>
    </w:p>
    <w:p w:rsidR="006013CA" w:rsidRPr="00EA7C8D" w:rsidRDefault="006013CA" w:rsidP="00EA7C8D">
      <w:pPr>
        <w:pStyle w:val="Heading3"/>
        <w:spacing w:before="0" w:after="240" w:line="240" w:lineRule="auto"/>
        <w:jc w:val="left"/>
        <w:rPr>
          <w:b/>
          <w:sz w:val="24"/>
          <w:szCs w:val="24"/>
        </w:rPr>
      </w:pPr>
      <w:bookmarkStart w:id="4" w:name="_Toc356901581"/>
      <w:r w:rsidRPr="00EA7C8D">
        <w:rPr>
          <w:b/>
          <w:sz w:val="24"/>
          <w:szCs w:val="24"/>
        </w:rPr>
        <w:t xml:space="preserve">1.3 </w:t>
      </w:r>
      <w:r>
        <w:rPr>
          <w:b/>
          <w:sz w:val="24"/>
          <w:szCs w:val="24"/>
        </w:rPr>
        <w:tab/>
      </w:r>
      <w:r w:rsidRPr="00EA7C8D">
        <w:rPr>
          <w:b/>
          <w:sz w:val="24"/>
          <w:szCs w:val="24"/>
        </w:rPr>
        <w:t>Aree interne: condizioni iniziali e potenziale di sviluppo</w:t>
      </w:r>
      <w:bookmarkEnd w:id="4"/>
    </w:p>
    <w:p w:rsidR="006013CA" w:rsidRDefault="006013CA" w:rsidP="00EA7C8D">
      <w:pPr>
        <w:spacing w:after="120" w:line="240" w:lineRule="auto"/>
        <w:rPr>
          <w:lang w:eastAsia="it-IT"/>
        </w:rPr>
      </w:pPr>
      <w:r>
        <w:rPr>
          <w:lang w:eastAsia="it-IT"/>
        </w:rPr>
        <w:t>Allo stato attuale le Aree interne dell’Italia, dopo diversi decenni di decrescita e di sviluppo, possono essere lette a tre livelli. In primo luogo si può porre l’attenzione sui costi sociali che generano i processi di produzione e di consumo realizzati secondo le attualità modalità. Il dissesto idrogeologico è tema di enorme rilevanza, ma ve ne sono altri ugualmente importanti come la perdita di diversità biologica, il degrado dei paesaggi umani, la perdita di conoscenza tradizionale. In secondo luogo, si posso descrivere le Aree interne italiane in termini di capitale territoriale non utilizzato. La decrescita economica e l’emigrazione si è lasciata alle spalle molti “paesaggi dell’abbandono”: sistemi semi-naturali (sistemi agro-forestali) non più utilizzati, capitale edilizio in dis-uso, conoscenze tradizionali non più attivate. Ci sono molte differenze nel grado di non utilizzo del capitale territoriale nei diversi sistemi locali delle Aree interne italiane, ma il non utilizzo resta un carattere che le accomuna. Il terzo livello di descrizione e il disagio sociale legato al razionamento – crescente in assenza di una specifica politica di contenimento per ragioni che saranno analizzate in seguito – dei servizi di base che identificano nella società contemporanea la cittadinanza.</w:t>
      </w:r>
    </w:p>
    <w:p w:rsidR="006013CA" w:rsidRDefault="006013CA" w:rsidP="00EA7C8D">
      <w:pPr>
        <w:spacing w:after="120" w:line="240" w:lineRule="auto"/>
        <w:rPr>
          <w:lang w:eastAsia="it-IT"/>
        </w:rPr>
      </w:pPr>
      <w:r>
        <w:rPr>
          <w:lang w:eastAsia="it-IT"/>
        </w:rPr>
        <w:t>Nella Figura 1.1 questi tre livelli di descrizione delle aree interne sono articolati i sotto-livelli. Si tratta di un’articolazione allo stesso tempo necessaria e generale, ma estendibile a seconda delle esigenze interpretative poste dalle specificità dei singoli territori.</w:t>
      </w:r>
    </w:p>
    <w:p w:rsidR="006013CA" w:rsidRPr="00EA7C8D" w:rsidRDefault="006013CA" w:rsidP="00EA7C8D">
      <w:pPr>
        <w:spacing w:after="0" w:line="240" w:lineRule="auto"/>
      </w:pPr>
    </w:p>
    <w:p w:rsidR="006013CA" w:rsidRPr="00EA7C8D" w:rsidRDefault="006013CA" w:rsidP="00EA7C8D">
      <w:pPr>
        <w:keepNext/>
        <w:tabs>
          <w:tab w:val="left" w:pos="993"/>
        </w:tabs>
        <w:spacing w:after="240" w:line="240" w:lineRule="auto"/>
        <w:ind w:left="992" w:hanging="992"/>
        <w:rPr>
          <w:b/>
          <w:bCs/>
          <w:color w:val="4F81BD"/>
          <w:sz w:val="20"/>
          <w:szCs w:val="20"/>
          <w:lang w:eastAsia="it-IT"/>
        </w:rPr>
      </w:pPr>
      <w:r w:rsidRPr="00EA7C8D">
        <w:rPr>
          <w:b/>
          <w:bCs/>
          <w:color w:val="4F81BD"/>
          <w:sz w:val="20"/>
          <w:szCs w:val="20"/>
          <w:lang w:eastAsia="it-IT"/>
        </w:rPr>
        <w:t>Fig</w:t>
      </w:r>
      <w:r>
        <w:rPr>
          <w:b/>
          <w:bCs/>
          <w:color w:val="4F81BD"/>
          <w:sz w:val="20"/>
          <w:szCs w:val="20"/>
          <w:lang w:eastAsia="it-IT"/>
        </w:rPr>
        <w:t>ura</w:t>
      </w:r>
      <w:r w:rsidRPr="00EA7C8D">
        <w:rPr>
          <w:b/>
          <w:bCs/>
          <w:color w:val="4F81BD"/>
          <w:sz w:val="20"/>
          <w:szCs w:val="20"/>
          <w:lang w:eastAsia="it-IT"/>
        </w:rPr>
        <w:t xml:space="preserve"> 1.1</w:t>
      </w:r>
      <w:r>
        <w:rPr>
          <w:b/>
          <w:bCs/>
          <w:color w:val="4F81BD"/>
          <w:sz w:val="20"/>
          <w:szCs w:val="20"/>
          <w:lang w:eastAsia="it-IT"/>
        </w:rPr>
        <w:t xml:space="preserve"> -</w:t>
      </w:r>
      <w:r>
        <w:rPr>
          <w:b/>
          <w:bCs/>
          <w:color w:val="4F81BD"/>
          <w:sz w:val="20"/>
          <w:szCs w:val="20"/>
          <w:lang w:eastAsia="it-IT"/>
        </w:rPr>
        <w:tab/>
      </w:r>
      <w:r w:rsidRPr="00EA7C8D">
        <w:rPr>
          <w:b/>
          <w:bCs/>
          <w:color w:val="4F81BD"/>
          <w:sz w:val="20"/>
          <w:szCs w:val="20"/>
          <w:lang w:eastAsia="it-IT"/>
        </w:rPr>
        <w:t>Descrizione dello stato delle Aree interne: uno schema</w:t>
      </w:r>
    </w:p>
    <w:p w:rsidR="006013CA" w:rsidRDefault="006013CA" w:rsidP="00EA7C8D">
      <w:pPr>
        <w:spacing w:after="120" w:line="240" w:lineRule="auto"/>
        <w:jc w:val="center"/>
        <w:rPr>
          <w:szCs w:val="28"/>
          <w:lang w:eastAsia="it-IT"/>
        </w:rPr>
      </w:pPr>
      <w:r w:rsidRPr="00495831">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i1025" type="#_x0000_t75" style="width:367.5pt;height:167.25pt;visibility:visible">
            <v:imagedata r:id="rId9" o:title=""/>
          </v:shape>
        </w:pict>
      </w:r>
    </w:p>
    <w:p w:rsidR="006013CA" w:rsidRPr="00EA7C8D" w:rsidRDefault="006013CA" w:rsidP="00EA7C8D">
      <w:pPr>
        <w:spacing w:after="0" w:line="240" w:lineRule="auto"/>
      </w:pPr>
    </w:p>
    <w:p w:rsidR="006013CA" w:rsidRDefault="006013CA">
      <w:pPr>
        <w:spacing w:after="120" w:line="240" w:lineRule="auto"/>
        <w:rPr>
          <w:szCs w:val="28"/>
          <w:lang w:eastAsia="it-IT"/>
        </w:rPr>
      </w:pPr>
      <w:r>
        <w:rPr>
          <w:szCs w:val="28"/>
          <w:lang w:eastAsia="it-IT"/>
        </w:rPr>
        <w:t xml:space="preserve">La caratteristica </w:t>
      </w:r>
      <w:r w:rsidRPr="006A576E">
        <w:rPr>
          <w:lang w:eastAsia="it-IT"/>
        </w:rPr>
        <w:t>dello</w:t>
      </w:r>
      <w:r>
        <w:rPr>
          <w:szCs w:val="28"/>
          <w:lang w:eastAsia="it-IT"/>
        </w:rPr>
        <w:t xml:space="preserve"> schema della Figura 1.1 è che esso mostra, </w:t>
      </w:r>
      <w:r w:rsidRPr="00C56B3C">
        <w:rPr>
          <w:szCs w:val="28"/>
          <w:lang w:eastAsia="it-IT"/>
        </w:rPr>
        <w:t>per differenza il “</w:t>
      </w:r>
      <w:r w:rsidRPr="00C56B3C">
        <w:rPr>
          <w:bCs/>
          <w:szCs w:val="28"/>
          <w:lang w:eastAsia="it-IT"/>
        </w:rPr>
        <w:t>potenziale di sviluppo economico</w:t>
      </w:r>
      <w:r w:rsidRPr="00C56B3C">
        <w:rPr>
          <w:szCs w:val="28"/>
          <w:lang w:eastAsia="it-IT"/>
        </w:rPr>
        <w:t>” delle Aree interne</w:t>
      </w:r>
      <w:r>
        <w:rPr>
          <w:szCs w:val="28"/>
          <w:lang w:eastAsia="it-IT"/>
        </w:rPr>
        <w:t>.</w:t>
      </w:r>
      <w:r w:rsidRPr="00C56B3C">
        <w:rPr>
          <w:szCs w:val="28"/>
          <w:lang w:eastAsia="it-IT"/>
        </w:rPr>
        <w:t xml:space="preserve"> </w:t>
      </w:r>
      <w:r>
        <w:rPr>
          <w:szCs w:val="28"/>
          <w:lang w:eastAsia="it-IT"/>
        </w:rPr>
        <w:t>Sembra possibile ritenere, infatti, che attraverso adeguate politiche pubbliche si riesca a raggiungere i seguenti obiettivi:</w:t>
      </w:r>
    </w:p>
    <w:p w:rsidR="006013CA" w:rsidRPr="00C56B3C" w:rsidRDefault="006013CA" w:rsidP="00EA7C8D">
      <w:pPr>
        <w:pStyle w:val="ListParagraph"/>
        <w:keepNext/>
        <w:numPr>
          <w:ilvl w:val="0"/>
          <w:numId w:val="35"/>
        </w:numPr>
        <w:spacing w:after="120" w:line="240" w:lineRule="auto"/>
        <w:ind w:left="714" w:hanging="357"/>
        <w:contextualSpacing w:val="0"/>
        <w:rPr>
          <w:szCs w:val="28"/>
          <w:lang w:eastAsia="it-IT"/>
        </w:rPr>
      </w:pPr>
      <w:r>
        <w:rPr>
          <w:bCs/>
          <w:szCs w:val="28"/>
          <w:lang w:eastAsia="it-IT"/>
        </w:rPr>
        <w:t>r</w:t>
      </w:r>
      <w:r w:rsidRPr="00C56B3C">
        <w:rPr>
          <w:bCs/>
          <w:szCs w:val="28"/>
          <w:lang w:eastAsia="it-IT"/>
        </w:rPr>
        <w:t>idu</w:t>
      </w:r>
      <w:r>
        <w:rPr>
          <w:bCs/>
          <w:szCs w:val="28"/>
          <w:lang w:eastAsia="it-IT"/>
        </w:rPr>
        <w:t>zione dei</w:t>
      </w:r>
      <w:r w:rsidRPr="00C56B3C">
        <w:rPr>
          <w:bCs/>
          <w:szCs w:val="28"/>
          <w:lang w:eastAsia="it-IT"/>
        </w:rPr>
        <w:t xml:space="preserve"> costi sociali</w:t>
      </w:r>
      <w:r w:rsidRPr="00C56B3C">
        <w:rPr>
          <w:szCs w:val="28"/>
          <w:lang w:eastAsia="it-IT"/>
        </w:rPr>
        <w:t>;</w:t>
      </w:r>
    </w:p>
    <w:p w:rsidR="006013CA" w:rsidRDefault="006013CA" w:rsidP="00EA7C8D">
      <w:pPr>
        <w:pStyle w:val="ListParagraph"/>
        <w:keepNext/>
        <w:numPr>
          <w:ilvl w:val="0"/>
          <w:numId w:val="35"/>
        </w:numPr>
        <w:spacing w:after="120" w:line="240" w:lineRule="auto"/>
        <w:ind w:left="714" w:hanging="357"/>
        <w:contextualSpacing w:val="0"/>
        <w:rPr>
          <w:szCs w:val="28"/>
          <w:lang w:eastAsia="it-IT"/>
        </w:rPr>
      </w:pPr>
      <w:r w:rsidRPr="00C56B3C">
        <w:rPr>
          <w:bCs/>
          <w:szCs w:val="28"/>
          <w:lang w:eastAsia="it-IT"/>
        </w:rPr>
        <w:t>aument</w:t>
      </w:r>
      <w:r>
        <w:rPr>
          <w:bCs/>
          <w:szCs w:val="28"/>
          <w:lang w:eastAsia="it-IT"/>
        </w:rPr>
        <w:t>o dell’</w:t>
      </w:r>
      <w:r w:rsidRPr="00C56B3C">
        <w:rPr>
          <w:bCs/>
          <w:szCs w:val="28"/>
          <w:lang w:eastAsia="it-IT"/>
        </w:rPr>
        <w:t xml:space="preserve">occupazione e </w:t>
      </w:r>
      <w:r>
        <w:rPr>
          <w:bCs/>
          <w:szCs w:val="28"/>
          <w:lang w:eastAsia="it-IT"/>
        </w:rPr>
        <w:t xml:space="preserve">del </w:t>
      </w:r>
      <w:r w:rsidRPr="00C56B3C">
        <w:rPr>
          <w:bCs/>
          <w:szCs w:val="28"/>
          <w:lang w:eastAsia="it-IT"/>
        </w:rPr>
        <w:t>reddito</w:t>
      </w:r>
      <w:r w:rsidRPr="00C56B3C">
        <w:rPr>
          <w:szCs w:val="28"/>
          <w:lang w:eastAsia="it-IT"/>
        </w:rPr>
        <w:t>.</w:t>
      </w:r>
    </w:p>
    <w:p w:rsidR="006013CA" w:rsidRDefault="006013CA" w:rsidP="00EA7C8D">
      <w:pPr>
        <w:pStyle w:val="ListParagraph"/>
        <w:keepNext/>
        <w:numPr>
          <w:ilvl w:val="0"/>
          <w:numId w:val="35"/>
        </w:numPr>
        <w:spacing w:after="120" w:line="240" w:lineRule="auto"/>
        <w:ind w:left="714" w:hanging="357"/>
        <w:contextualSpacing w:val="0"/>
        <w:rPr>
          <w:szCs w:val="28"/>
          <w:lang w:eastAsia="it-IT"/>
        </w:rPr>
      </w:pPr>
      <w:r>
        <w:rPr>
          <w:bCs/>
          <w:szCs w:val="28"/>
          <w:lang w:eastAsia="it-IT"/>
        </w:rPr>
        <w:t>adeguamento della</w:t>
      </w:r>
      <w:r w:rsidRPr="00C56B3C">
        <w:rPr>
          <w:bCs/>
          <w:szCs w:val="28"/>
          <w:lang w:eastAsia="it-IT"/>
        </w:rPr>
        <w:t xml:space="preserve"> cittadinanza</w:t>
      </w:r>
      <w:r>
        <w:rPr>
          <w:szCs w:val="28"/>
          <w:lang w:eastAsia="it-IT"/>
        </w:rPr>
        <w:t>.</w:t>
      </w:r>
    </w:p>
    <w:p w:rsidR="006013CA" w:rsidRDefault="006013CA" w:rsidP="00EA7C8D">
      <w:pPr>
        <w:spacing w:after="120" w:line="240" w:lineRule="auto"/>
        <w:rPr>
          <w:lang w:eastAsia="it-IT"/>
        </w:rPr>
      </w:pPr>
      <w:r>
        <w:rPr>
          <w:lang w:eastAsia="it-IT"/>
        </w:rPr>
        <w:t>Questi tre obiettivi devono naturalmente essere resi operativ</w:t>
      </w:r>
      <w:r w:rsidRPr="00CF7EB9">
        <w:rPr>
          <w:lang w:eastAsia="it-IT"/>
        </w:rPr>
        <w:t>i</w:t>
      </w:r>
      <w:r w:rsidRPr="00A269F3">
        <w:rPr>
          <w:lang w:eastAsia="it-IT"/>
        </w:rPr>
        <w:t>,</w:t>
      </w:r>
      <w:r>
        <w:rPr>
          <w:lang w:eastAsia="it-IT"/>
        </w:rPr>
        <w:t xml:space="preserve"> espressi in termini quantitativi e proiettati su un orizzonte temporale pre-definito allo scopo di poter valutare ex-ante ed ex-post politiche e progetti. Così espressi, in termini qualitativi, essi identificano in concreto il concetto di “sviluppo economico”, considerato in questo rapporto l’obiettivo finale della strategia che sarà delineata nelle pagine che seguono.</w:t>
      </w:r>
    </w:p>
    <w:p w:rsidR="006013CA" w:rsidRDefault="006013CA" w:rsidP="00EA7C8D">
      <w:pPr>
        <w:spacing w:after="120" w:line="240" w:lineRule="auto"/>
        <w:rPr>
          <w:szCs w:val="28"/>
          <w:lang w:eastAsia="it-IT"/>
        </w:rPr>
      </w:pPr>
      <w:r>
        <w:rPr>
          <w:lang w:eastAsia="it-IT"/>
        </w:rPr>
        <w:t xml:space="preserve">Descritte in termini di “potenziale di sviluppo economico” le Aree interne dell’Italia mostrano tutto il loro rilievo da una prospettiva nazionale. Porre l’attenzione sula grande estensione – in termini di popolazione e spazio – delle Aree interne rende immediatamente evidente quanto sia consistente il potenziale di sviluppo che esse oggi esprimono e quanto sia quindi importante il contributo che esse possono dare a stabilizzare la traiettoria di sviluppo economico nazionale. </w:t>
      </w:r>
      <w:r w:rsidRPr="00FC1248">
        <w:rPr>
          <w:szCs w:val="28"/>
          <w:lang w:eastAsia="it-IT"/>
        </w:rPr>
        <w:t>Lasciare inutilizzato un capitale territoriale così vasto, eterogeno e specifico è irrazionale da un punto di vista economico – anche considerando che l’Italia dispone di una forza lavoro in eccesso che potrebbe partecipare alla ri-attivazione del capitale locale.</w:t>
      </w:r>
    </w:p>
    <w:p w:rsidR="006013CA" w:rsidRPr="00FC1248" w:rsidRDefault="006013CA" w:rsidP="00EA7C8D">
      <w:pPr>
        <w:spacing w:after="120" w:line="240" w:lineRule="auto"/>
        <w:rPr>
          <w:szCs w:val="28"/>
          <w:lang w:eastAsia="it-IT"/>
        </w:rPr>
      </w:pPr>
    </w:p>
    <w:p w:rsidR="006013CA" w:rsidRPr="00EA7C8D" w:rsidRDefault="006013CA" w:rsidP="00EA7C8D">
      <w:pPr>
        <w:pStyle w:val="Heading3"/>
        <w:spacing w:before="0" w:after="240" w:line="240" w:lineRule="auto"/>
        <w:jc w:val="left"/>
        <w:rPr>
          <w:b/>
          <w:sz w:val="24"/>
          <w:szCs w:val="24"/>
        </w:rPr>
      </w:pPr>
      <w:bookmarkStart w:id="5" w:name="_Toc356901582"/>
      <w:r w:rsidRPr="00EA7C8D">
        <w:rPr>
          <w:b/>
          <w:sz w:val="24"/>
          <w:szCs w:val="24"/>
        </w:rPr>
        <w:t xml:space="preserve">1.4 </w:t>
      </w:r>
      <w:r>
        <w:rPr>
          <w:b/>
          <w:sz w:val="24"/>
          <w:szCs w:val="24"/>
        </w:rPr>
        <w:tab/>
      </w:r>
      <w:r w:rsidRPr="00EA7C8D">
        <w:rPr>
          <w:b/>
          <w:sz w:val="24"/>
          <w:szCs w:val="24"/>
        </w:rPr>
        <w:t>Aree interne: scenari ‘senza intervento’</w:t>
      </w:r>
      <w:bookmarkEnd w:id="5"/>
    </w:p>
    <w:p w:rsidR="006013CA" w:rsidRDefault="006013CA" w:rsidP="00EA7C8D">
      <w:pPr>
        <w:spacing w:after="120" w:line="240" w:lineRule="auto"/>
        <w:rPr>
          <w:lang w:eastAsia="it-IT"/>
        </w:rPr>
      </w:pPr>
      <w:r>
        <w:rPr>
          <w:lang w:eastAsia="it-IT"/>
        </w:rPr>
        <w:t xml:space="preserve">Come già richiamato, le Aree interne sono un sistema territoriale </w:t>
      </w:r>
      <w:r w:rsidRPr="00E87CFB">
        <w:rPr>
          <w:i/>
          <w:lang w:eastAsia="it-IT"/>
        </w:rPr>
        <w:t>in evoluzione</w:t>
      </w:r>
      <w:r>
        <w:rPr>
          <w:lang w:eastAsia="it-IT"/>
        </w:rPr>
        <w:t xml:space="preserve">. Il loro essere profondamente integrati in termini spaziali, relazionali, economici – e culturali – con il resto del territorio italiano li rende oggetto e soggetto delle dinamiche nazionali, europee e globali. Non è quindi possibile evitare la domanda sulle traiettorie evolutive future delle aree interne – e dare anche una valutazione di queste traiettorie. </w:t>
      </w:r>
      <w:r w:rsidRPr="009B7CA9">
        <w:rPr>
          <w:lang w:eastAsia="it-IT"/>
        </w:rPr>
        <w:t xml:space="preserve">Ogni strategia rivolta al complesso delle aree interne del Paese deve </w:t>
      </w:r>
      <w:r>
        <w:rPr>
          <w:lang w:eastAsia="it-IT"/>
        </w:rPr>
        <w:t>quindi</w:t>
      </w:r>
      <w:r w:rsidRPr="009B7CA9">
        <w:rPr>
          <w:lang w:eastAsia="it-IT"/>
        </w:rPr>
        <w:t xml:space="preserve"> misurarsi con un</w:t>
      </w:r>
      <w:r>
        <w:rPr>
          <w:lang w:eastAsia="it-IT"/>
        </w:rPr>
        <w:t xml:space="preserve">’analisi e </w:t>
      </w:r>
      <w:r w:rsidRPr="009B7CA9">
        <w:rPr>
          <w:lang w:eastAsia="it-IT"/>
        </w:rPr>
        <w:t>valutazione delle tendenze in atto, ossia dello scenario economico, sociale e ambientale che è presumibile prevalga in assenza di azione pubblica aggiuntiva</w:t>
      </w:r>
      <w:r>
        <w:rPr>
          <w:lang w:eastAsia="it-IT"/>
        </w:rPr>
        <w:t xml:space="preserve"> o diversa rispetto a quella in essere</w:t>
      </w:r>
      <w:r w:rsidRPr="009B7CA9">
        <w:rPr>
          <w:lang w:eastAsia="it-IT"/>
        </w:rPr>
        <w:t xml:space="preserve">. </w:t>
      </w:r>
    </w:p>
    <w:p w:rsidR="006013CA" w:rsidRDefault="006013CA" w:rsidP="00EA7C8D">
      <w:pPr>
        <w:spacing w:after="120" w:line="240" w:lineRule="auto"/>
        <w:rPr>
          <w:lang w:eastAsia="it-IT"/>
        </w:rPr>
      </w:pPr>
      <w:r w:rsidRPr="009B7CA9">
        <w:rPr>
          <w:lang w:eastAsia="it-IT"/>
        </w:rPr>
        <w:t xml:space="preserve">Questo esercizio </w:t>
      </w:r>
      <w:r>
        <w:rPr>
          <w:lang w:eastAsia="it-IT"/>
        </w:rPr>
        <w:t xml:space="preserve">di previsione esplorativa, di “costruzione di scenari” </w:t>
      </w:r>
      <w:r w:rsidRPr="009B7CA9">
        <w:rPr>
          <w:lang w:eastAsia="it-IT"/>
        </w:rPr>
        <w:t xml:space="preserve">richiede </w:t>
      </w:r>
      <w:r>
        <w:rPr>
          <w:lang w:eastAsia="it-IT"/>
        </w:rPr>
        <w:t>in primo luogo l’</w:t>
      </w:r>
      <w:r w:rsidRPr="009B7CA9">
        <w:rPr>
          <w:lang w:eastAsia="it-IT"/>
        </w:rPr>
        <w:t>identificazione dei confini generali dell’area in questione</w:t>
      </w:r>
      <w:r>
        <w:rPr>
          <w:lang w:eastAsia="it-IT"/>
        </w:rPr>
        <w:t>. Questo tema è affrontato nel capitolo 2, al quale si rimanda. L’identificazione del perimetro delle Aree interne è, tuttavia, soltanto un passo preliminare. I passo successivo necessario</w:t>
      </w:r>
      <w:r w:rsidRPr="009B7CA9">
        <w:rPr>
          <w:lang w:eastAsia="it-IT"/>
        </w:rPr>
        <w:t xml:space="preserve"> </w:t>
      </w:r>
      <w:r>
        <w:rPr>
          <w:lang w:eastAsia="it-IT"/>
        </w:rPr>
        <w:t>è l’identificazione delle differenze che si osservano, dalla prospettiva di analisi e di intervento di questo Rapporto, tra i diversi sub-sistemi territoriali che compongono le Aree interne.</w:t>
      </w:r>
    </w:p>
    <w:p w:rsidR="006013CA" w:rsidRPr="00F749DA" w:rsidRDefault="006013CA" w:rsidP="00EA7C8D">
      <w:pPr>
        <w:spacing w:after="120" w:line="240" w:lineRule="auto"/>
      </w:pPr>
      <w:r w:rsidRPr="00F749DA">
        <w:t xml:space="preserve">Le “Aree interne” italiane devono essere interpretate anche come un “insieme di sistemi locali”. Questa prospettiva fa emergere un carattere fondamentale di questo territorio: la sua </w:t>
      </w:r>
      <w:r w:rsidRPr="00FC1248">
        <w:t>elevata varietà</w:t>
      </w:r>
      <w:r w:rsidRPr="00F749DA">
        <w:t>. Vi sono profonde differenze (a tutti i livelli: geografico, economico, sociale, culturale, eco-sistemico) tra i sistemi locali che compongono le “Aree interne”. Questa varietà rende le “Aree interne” un sistema profondamente dis-omogeneo.</w:t>
      </w:r>
    </w:p>
    <w:p w:rsidR="006013CA" w:rsidRPr="00F749DA" w:rsidRDefault="006013CA" w:rsidP="00EA7C8D">
      <w:pPr>
        <w:spacing w:after="120" w:line="240" w:lineRule="auto"/>
      </w:pPr>
      <w:r w:rsidRPr="00F749DA">
        <w:t xml:space="preserve">Il riconoscimento delle differenze tra i sistemi locali delle “Aree interne” è il primo passo per il riconoscimento della loro </w:t>
      </w:r>
      <w:r w:rsidRPr="00F749DA">
        <w:rPr>
          <w:i/>
        </w:rPr>
        <w:t>complessità</w:t>
      </w:r>
      <w:r w:rsidRPr="00F749DA">
        <w:t>. La relazione tra “ambiente” ed “economia” che per secoli ha caratterizzato le “Aree interne” italiane ha condotto a pratiche insediative, tecnologie di produzione (e conoscenza pratica), modelli di consumo, rappresentazioni culturali che, nella loro interdipendenza, identificano sistemi umani molto complessi e con un elevato grado di specificità.</w:t>
      </w:r>
    </w:p>
    <w:p w:rsidR="006013CA" w:rsidRDefault="006013CA" w:rsidP="00EA7C8D">
      <w:pPr>
        <w:spacing w:after="120" w:line="240" w:lineRule="auto"/>
        <w:rPr>
          <w:szCs w:val="28"/>
          <w:lang w:eastAsia="it-IT"/>
        </w:rPr>
      </w:pPr>
      <w:r>
        <w:rPr>
          <w:szCs w:val="28"/>
          <w:lang w:eastAsia="it-IT"/>
        </w:rPr>
        <w:t>A livello generale si possono comunque definire alcune dimensioni di un’attività di previsione esplorativa.</w:t>
      </w:r>
    </w:p>
    <w:p w:rsidR="006013CA" w:rsidRDefault="006013CA" w:rsidP="00EA7C8D">
      <w:pPr>
        <w:spacing w:after="120" w:line="240" w:lineRule="auto"/>
        <w:rPr>
          <w:lang w:eastAsia="it-IT"/>
        </w:rPr>
      </w:pPr>
      <w:r>
        <w:rPr>
          <w:lang w:eastAsia="it-IT"/>
        </w:rPr>
        <w:t>La prima fondamentale dimensione è quella demografica. Benché con intensità variabile i sistemi locali delle Aree interne hanno raggiunto un grado di invecchiamento che non assicura un sufficiente ricambio generazionale. Molti sistemi territoriali sono destinati nel medio-lungo periodo a subire un collasso demografico. Vi sono però in alcuni casi segnali di ripresa demografica che meritano la dovuta attenzione sul piano dell’analisi e della costruzione della policy.</w:t>
      </w:r>
    </w:p>
    <w:p w:rsidR="006013CA" w:rsidRDefault="006013CA" w:rsidP="00EA7C8D">
      <w:pPr>
        <w:spacing w:after="120" w:line="240" w:lineRule="auto"/>
        <w:rPr>
          <w:szCs w:val="28"/>
          <w:lang w:eastAsia="it-IT"/>
        </w:rPr>
      </w:pPr>
      <w:r>
        <w:rPr>
          <w:szCs w:val="28"/>
          <w:lang w:eastAsia="it-IT"/>
        </w:rPr>
        <w:t>La seconda fondamentale dimensione da considerare per un’esplorazione in termini di possibili scenari dei singoli sistemi locali è certamente l’andamento dell’offerta dei servizi di base. Non c’è dubbio che nell’ultimo decennio vi è stata una riduzione della qualità/quantità di servizi di base erogati: salute, istruzione e mobilità. In parte conseguenza di un adeguamento a una popolazione decrescente o stazionaria, in parte effetto di una razionalizzazione condotta con il criterio dell’efficienza, a riduzione della qualità della cittadinanza – coniugandosi con l’invecchiamento della popolazione – molto probabilmente proseguirà nel prossimo decennio e oltre.</w:t>
      </w:r>
    </w:p>
    <w:p w:rsidR="006013CA" w:rsidRDefault="006013CA" w:rsidP="00EA7C8D">
      <w:pPr>
        <w:spacing w:after="120" w:line="240" w:lineRule="auto"/>
        <w:rPr>
          <w:szCs w:val="28"/>
          <w:lang w:eastAsia="it-IT"/>
        </w:rPr>
      </w:pPr>
      <w:r>
        <w:rPr>
          <w:szCs w:val="28"/>
          <w:lang w:eastAsia="it-IT"/>
        </w:rPr>
        <w:t>La terza dimensione riguarda la dinamica della base manifatturiera, in questi sistemi locali nei quali esiste. Il generale processo di de-industrializzazione e le nuove logiche agglomerative lasciano prevedere una tendenza di fondo alla riduzione della base industriale tradizionale.</w:t>
      </w:r>
    </w:p>
    <w:p w:rsidR="006013CA" w:rsidRDefault="006013CA" w:rsidP="00EA7C8D">
      <w:pPr>
        <w:spacing w:after="120" w:line="240" w:lineRule="auto"/>
        <w:rPr>
          <w:szCs w:val="28"/>
          <w:lang w:eastAsia="it-IT"/>
        </w:rPr>
      </w:pPr>
      <w:r w:rsidRPr="00A269F3">
        <w:rPr>
          <w:szCs w:val="28"/>
          <w:lang w:eastAsia="it-IT"/>
        </w:rPr>
        <w:t>La quarta dimensione riguarda la dinamica della base economica turistica. La modifica delle condizioni di competitività</w:t>
      </w:r>
      <w:r>
        <w:rPr>
          <w:szCs w:val="28"/>
          <w:lang w:eastAsia="it-IT"/>
        </w:rPr>
        <w:t xml:space="preserve"> </w:t>
      </w:r>
      <w:r w:rsidRPr="00A269F3">
        <w:rPr>
          <w:szCs w:val="28"/>
          <w:lang w:eastAsia="it-IT"/>
        </w:rPr>
        <w:t>determinata all’entrata in scena di nuovi territori turistici, il cambiamento delle preferenze e i cambiamenti climatici sono un elemento di instabilità per alcuni sistemi locali.</w:t>
      </w:r>
    </w:p>
    <w:p w:rsidR="006013CA" w:rsidRDefault="006013CA" w:rsidP="00EA7C8D">
      <w:pPr>
        <w:spacing w:after="120" w:line="240" w:lineRule="auto"/>
        <w:rPr>
          <w:szCs w:val="28"/>
          <w:lang w:eastAsia="it-IT"/>
        </w:rPr>
      </w:pPr>
      <w:r>
        <w:rPr>
          <w:szCs w:val="28"/>
          <w:lang w:eastAsia="it-IT"/>
        </w:rPr>
        <w:t>La quinta dimensione è la dinamica del dissesto idro-geologico. In assenza di intervento i costi sociali sono destinati ad aggravarsi con manifestazioni crescenti per frequenza e impatto.</w:t>
      </w:r>
    </w:p>
    <w:p w:rsidR="006013CA" w:rsidRDefault="006013CA" w:rsidP="00EA7C8D">
      <w:pPr>
        <w:spacing w:after="120" w:line="240" w:lineRule="auto"/>
        <w:rPr>
          <w:szCs w:val="28"/>
          <w:lang w:eastAsia="it-IT"/>
        </w:rPr>
      </w:pPr>
    </w:p>
    <w:p w:rsidR="006013CA" w:rsidRPr="00EA7C8D" w:rsidRDefault="006013CA" w:rsidP="00EA7C8D">
      <w:pPr>
        <w:pStyle w:val="Heading3"/>
        <w:spacing w:before="0" w:after="240" w:line="240" w:lineRule="auto"/>
        <w:jc w:val="left"/>
        <w:rPr>
          <w:b/>
          <w:sz w:val="24"/>
          <w:szCs w:val="24"/>
        </w:rPr>
      </w:pPr>
      <w:bookmarkStart w:id="6" w:name="_Toc356901583"/>
      <w:r w:rsidRPr="00EA7C8D">
        <w:rPr>
          <w:b/>
          <w:sz w:val="24"/>
          <w:szCs w:val="24"/>
        </w:rPr>
        <w:t xml:space="preserve">1.5 </w:t>
      </w:r>
      <w:r>
        <w:rPr>
          <w:b/>
          <w:sz w:val="24"/>
          <w:szCs w:val="24"/>
        </w:rPr>
        <w:tab/>
      </w:r>
      <w:r w:rsidRPr="00EA7C8D">
        <w:rPr>
          <w:b/>
          <w:sz w:val="24"/>
          <w:szCs w:val="24"/>
        </w:rPr>
        <w:t>Una strategia di sviluppo economico</w:t>
      </w:r>
      <w:bookmarkEnd w:id="6"/>
    </w:p>
    <w:p w:rsidR="006013CA" w:rsidRPr="00F749DA" w:rsidRDefault="006013CA" w:rsidP="00EA7C8D">
      <w:pPr>
        <w:spacing w:after="120" w:line="240" w:lineRule="auto"/>
        <w:rPr>
          <w:szCs w:val="28"/>
        </w:rPr>
      </w:pPr>
      <w:r>
        <w:rPr>
          <w:szCs w:val="28"/>
        </w:rPr>
        <w:t xml:space="preserve">La strategia di sviluppo economico necessaria nasce dall’intersezione della prospettiva nazionale con quella locale. </w:t>
      </w:r>
      <w:r w:rsidRPr="00F749DA">
        <w:rPr>
          <w:szCs w:val="28"/>
        </w:rPr>
        <w:t>Lo “sguardo nazionale” percepisce la rilevanza delle “Aree interne” e la loro comples</w:t>
      </w:r>
      <w:r>
        <w:rPr>
          <w:szCs w:val="28"/>
        </w:rPr>
        <w:t>sità, ma non sa declinare questa</w:t>
      </w:r>
      <w:r w:rsidRPr="00F749DA">
        <w:rPr>
          <w:szCs w:val="28"/>
        </w:rPr>
        <w:t xml:space="preserve"> complessità. Solo la comunità locale può declinare e trasformare la complessità in progetto. Ma è tuttavia solo a livello nazionale che si possono eliminare quegli elementi, che sono di ostacolo allo sviluppo locale, che formano il contesto istituzionale ed economico all’interno del quale le comunità locali necessariamente operano e si evolvono.</w:t>
      </w:r>
    </w:p>
    <w:p w:rsidR="006013CA" w:rsidRPr="00F749DA" w:rsidRDefault="006013CA" w:rsidP="00EA7C8D">
      <w:pPr>
        <w:spacing w:after="120" w:line="240" w:lineRule="auto"/>
        <w:rPr>
          <w:szCs w:val="28"/>
        </w:rPr>
      </w:pPr>
      <w:r w:rsidRPr="00F749DA">
        <w:rPr>
          <w:szCs w:val="28"/>
        </w:rPr>
        <w:t xml:space="preserve">La </w:t>
      </w:r>
      <w:r w:rsidRPr="00F749DA">
        <w:rPr>
          <w:i/>
          <w:szCs w:val="28"/>
        </w:rPr>
        <w:t>varietà</w:t>
      </w:r>
      <w:r w:rsidRPr="00F749DA">
        <w:rPr>
          <w:szCs w:val="28"/>
        </w:rPr>
        <w:t xml:space="preserve"> e la </w:t>
      </w:r>
      <w:r w:rsidRPr="00F749DA">
        <w:rPr>
          <w:i/>
          <w:szCs w:val="28"/>
        </w:rPr>
        <w:t>complessità</w:t>
      </w:r>
      <w:r w:rsidRPr="00F749DA">
        <w:rPr>
          <w:szCs w:val="28"/>
        </w:rPr>
        <w:t xml:space="preserve"> </w:t>
      </w:r>
      <w:r>
        <w:rPr>
          <w:szCs w:val="28"/>
        </w:rPr>
        <w:t>delle aree interne italiane su</w:t>
      </w:r>
      <w:r w:rsidRPr="00F749DA">
        <w:rPr>
          <w:szCs w:val="28"/>
        </w:rPr>
        <w:t xml:space="preserve">ggeriscono che lo “sguardo nazionale” </w:t>
      </w:r>
      <w:r>
        <w:rPr>
          <w:szCs w:val="28"/>
        </w:rPr>
        <w:t>debba</w:t>
      </w:r>
      <w:r w:rsidRPr="00F749DA">
        <w:rPr>
          <w:szCs w:val="28"/>
        </w:rPr>
        <w:t xml:space="preserve"> intersecarsi con uno “sguardo locale” nella formulazione di una strategia di sviluppo economico delle “Aree interne”. Si deve evitare sia la “</w:t>
      </w:r>
      <w:r w:rsidRPr="00F749DA">
        <w:rPr>
          <w:i/>
          <w:szCs w:val="28"/>
        </w:rPr>
        <w:t>illusione</w:t>
      </w:r>
      <w:r w:rsidRPr="00F749DA">
        <w:rPr>
          <w:szCs w:val="28"/>
        </w:rPr>
        <w:t xml:space="preserve"> del progetto locale” – ritenere che i luoghi dispongano di tutte le risorse economiche e cognitive necessarie per reali</w:t>
      </w:r>
      <w:r w:rsidRPr="00FC1248">
        <w:t>zz</w:t>
      </w:r>
      <w:r w:rsidRPr="00F749DA">
        <w:rPr>
          <w:szCs w:val="28"/>
        </w:rPr>
        <w:t>are efficaci strategie di sviluppo – sia la “</w:t>
      </w:r>
      <w:r w:rsidRPr="00F749DA">
        <w:rPr>
          <w:i/>
          <w:szCs w:val="28"/>
        </w:rPr>
        <w:t>irrealtà</w:t>
      </w:r>
      <w:r w:rsidRPr="00F749DA">
        <w:rPr>
          <w:szCs w:val="28"/>
        </w:rPr>
        <w:t xml:space="preserve"> del progetto nazionale” – ritenere che una strategia nazionale possa raggiungere i suoi obiettivi senza la condivisione delle comunità locali.</w:t>
      </w:r>
    </w:p>
    <w:p w:rsidR="006013CA" w:rsidRDefault="006013CA" w:rsidP="00EA7C8D">
      <w:pPr>
        <w:spacing w:after="120" w:line="240" w:lineRule="auto"/>
      </w:pPr>
      <w:r>
        <w:t>La Figura 1.2 esprime in estrema sintesi la strategia di sviluppo locale proposta in questo rapporto per le Aree interne italiane. Si tratta di una strategia che nasce da un’estesa riflessione sui successi/insuccessi delle politiche di sviluppo locale del passato e dalle esperienze europee in corso, in particolare di quei paesi che per ragioni geografiche o territoriali si sono dovuti confrontare con il tema della marginalità territoriale.</w:t>
      </w:r>
    </w:p>
    <w:p w:rsidR="006013CA" w:rsidRPr="006A576E" w:rsidRDefault="006013CA" w:rsidP="00EA7C8D">
      <w:pPr>
        <w:spacing w:after="0" w:line="240" w:lineRule="auto"/>
      </w:pPr>
    </w:p>
    <w:p w:rsidR="006013CA" w:rsidRPr="00EA7C8D" w:rsidRDefault="006013CA" w:rsidP="00A269F3">
      <w:pPr>
        <w:keepNext/>
        <w:tabs>
          <w:tab w:val="left" w:pos="993"/>
        </w:tabs>
        <w:spacing w:after="240" w:line="240" w:lineRule="auto"/>
        <w:rPr>
          <w:b/>
          <w:bCs/>
          <w:color w:val="4F81BD"/>
          <w:sz w:val="20"/>
          <w:szCs w:val="20"/>
          <w:lang w:eastAsia="it-IT"/>
        </w:rPr>
      </w:pPr>
      <w:r w:rsidRPr="00EA7C8D">
        <w:rPr>
          <w:b/>
          <w:bCs/>
          <w:color w:val="4F81BD"/>
          <w:sz w:val="20"/>
          <w:szCs w:val="20"/>
          <w:lang w:eastAsia="it-IT"/>
        </w:rPr>
        <w:t>Fig</w:t>
      </w:r>
      <w:r>
        <w:rPr>
          <w:b/>
          <w:bCs/>
          <w:color w:val="4F81BD"/>
          <w:sz w:val="20"/>
          <w:szCs w:val="20"/>
          <w:lang w:eastAsia="it-IT"/>
        </w:rPr>
        <w:t>ura</w:t>
      </w:r>
      <w:r w:rsidRPr="00EA7C8D">
        <w:rPr>
          <w:b/>
          <w:bCs/>
          <w:color w:val="4F81BD"/>
          <w:sz w:val="20"/>
          <w:szCs w:val="20"/>
          <w:lang w:eastAsia="it-IT"/>
        </w:rPr>
        <w:t xml:space="preserve"> 1.2 </w:t>
      </w:r>
      <w:r>
        <w:rPr>
          <w:b/>
          <w:bCs/>
          <w:color w:val="4F81BD"/>
          <w:sz w:val="20"/>
          <w:szCs w:val="20"/>
          <w:lang w:eastAsia="it-IT"/>
        </w:rPr>
        <w:t>-</w:t>
      </w:r>
      <w:r>
        <w:rPr>
          <w:b/>
          <w:bCs/>
          <w:color w:val="4F81BD"/>
          <w:sz w:val="20"/>
          <w:szCs w:val="20"/>
          <w:lang w:eastAsia="it-IT"/>
        </w:rPr>
        <w:tab/>
      </w:r>
      <w:r w:rsidRPr="00EA7C8D">
        <w:rPr>
          <w:b/>
          <w:bCs/>
          <w:color w:val="4F81BD"/>
          <w:sz w:val="20"/>
          <w:szCs w:val="20"/>
          <w:lang w:eastAsia="it-IT"/>
        </w:rPr>
        <w:t>Una strategia di sviluppo locale</w:t>
      </w:r>
    </w:p>
    <w:p w:rsidR="006013CA" w:rsidRDefault="006013CA" w:rsidP="00A269F3">
      <w:pPr>
        <w:spacing w:after="120" w:line="240" w:lineRule="auto"/>
      </w:pPr>
      <w:r w:rsidRPr="00495831">
        <w:rPr>
          <w:noProof/>
          <w:lang w:eastAsia="it-IT"/>
        </w:rPr>
        <w:pict>
          <v:shape id="Immagine 4" o:spid="_x0000_i1026" type="#_x0000_t75" style="width:350.25pt;height:270.75pt;visibility:visible">
            <v:imagedata r:id="rId10" o:title=""/>
          </v:shape>
        </w:pict>
      </w:r>
    </w:p>
    <w:p w:rsidR="006013CA" w:rsidRPr="00A269F3" w:rsidRDefault="006013CA" w:rsidP="00A269F3">
      <w:pPr>
        <w:spacing w:after="0" w:line="240" w:lineRule="auto"/>
      </w:pPr>
    </w:p>
    <w:p w:rsidR="006013CA" w:rsidRDefault="006013CA" w:rsidP="00EA7C8D">
      <w:pPr>
        <w:spacing w:after="120" w:line="240" w:lineRule="auto"/>
      </w:pPr>
      <w:r>
        <w:t xml:space="preserve">Ciò che caratterizza la strategia di sviluppo economico definita nei capitale successivi del presente Rapporto è l’attenzione alle </w:t>
      </w:r>
      <w:r w:rsidRPr="004B758B">
        <w:rPr>
          <w:i/>
        </w:rPr>
        <w:t>precondizioni dello sviluppo locale</w:t>
      </w:r>
      <w:r>
        <w:t>. In particolare le precondizioni dello sviluppo locale sono viste come un livello di intervento distinto dalla promozione di progetti di sviluppo locale, nonostante l’ovvia interdipendenza. La tesi è che i progetti di sviluppo locale non realizzano gli effetti nella misura attesi o non li realizzano affatto in mancanza delle pre-condizioni dello sviluppo locale. I territori “si devono predisporre” – devono essere innanzitutto aiutati “a predisporsi” – ad accogliere progetti di sviluppo locale: questa è la tesi di fondo.</w:t>
      </w:r>
    </w:p>
    <w:p w:rsidR="006013CA" w:rsidRDefault="006013CA" w:rsidP="00EA7C8D">
      <w:pPr>
        <w:spacing w:after="120" w:line="240" w:lineRule="auto"/>
      </w:pPr>
      <w:r>
        <w:t>L’intervento sulle precondizioni dello sviluppo devono essere tenuto distinto dall’attuazione dei progetti di sviluppo locale perché chiamano in gioco attori istituzionali diversi (richiedono sistemi di governance diversi), poggiano si risorse cognitive e finanziarie di tipo diverso e perché devono precedere i progetti disviluppo locale. L’attenzione sulle precondizioni dello sviluppo locale – e la consapevolezza che tali pre-condizioni devono essere assicurate da interventi di scala nazionale e regionale, comune sovra-locale – è ciò che caratterizza e distingue la strategia disviluppo locale che si propone.</w:t>
      </w:r>
    </w:p>
    <w:p w:rsidR="006013CA" w:rsidRPr="009A17EE" w:rsidRDefault="006013CA">
      <w:pPr>
        <w:spacing w:after="120" w:line="240" w:lineRule="auto"/>
      </w:pPr>
      <w:r w:rsidRPr="006A576E">
        <w:t xml:space="preserve">Ma quali sono secondo la prospettiva di questo rapporto le precondizioni dello sviluppo locale. Mentre si rimanda al capitolo 3 per l’analisi di questo fondamentale elemento della strategia di sviluppo qui proposta, si può ricorrere alla </w:t>
      </w:r>
      <w:r w:rsidRPr="009A17EE">
        <w:t xml:space="preserve">Figura 1.3 per identificarla. </w:t>
      </w:r>
    </w:p>
    <w:p w:rsidR="006013CA" w:rsidRDefault="006013CA" w:rsidP="00EA7C8D">
      <w:pPr>
        <w:spacing w:after="120" w:line="240" w:lineRule="auto"/>
      </w:pPr>
      <w:r>
        <w:t xml:space="preserve">La prima precondizione è una sufficiente – identica o superiore agli standard nazionali – disponibilità dei servizi di base che identificano </w:t>
      </w:r>
      <w:r w:rsidRPr="00F749DA">
        <w:t>la cittadinanza</w:t>
      </w:r>
      <w:r>
        <w:t>: istruzione, sanità, mobilità. Questa è una condizione fondamentale per garantire il permanere della residenza: lo svolgimento dei piani di vita nel territorio. Nella società contemporanea un’insufficiente qualità/quantità di questi tre servizi è uno ostacolo insormontabile per qualsiasi strategia locale di sviluppo economico.</w:t>
      </w:r>
      <w:r w:rsidRPr="00BA22B4">
        <w:t xml:space="preserve"> </w:t>
      </w:r>
      <w:r w:rsidRPr="00F749DA">
        <w:t>Se nelle aree interne non sono</w:t>
      </w:r>
      <w:r w:rsidRPr="00F749DA">
        <w:rPr>
          <w:u w:val="single"/>
        </w:rPr>
        <w:t xml:space="preserve"> </w:t>
      </w:r>
      <w:r w:rsidRPr="00F749DA">
        <w:t>soddisfatti servizi essenziali “di cittadinanza” non si può vivere.</w:t>
      </w:r>
    </w:p>
    <w:p w:rsidR="006013CA" w:rsidRDefault="006013CA" w:rsidP="00EA7C8D">
      <w:pPr>
        <w:spacing w:after="120" w:line="240" w:lineRule="auto"/>
      </w:pPr>
      <w:r>
        <w:t>La seconda precondizione è esterna al sistema locale</w:t>
      </w:r>
      <w:r w:rsidRPr="00F749DA">
        <w:t xml:space="preserve"> </w:t>
      </w:r>
      <w:r>
        <w:t>e può essere descritta con l’espressione “mercato”</w:t>
      </w:r>
      <w:r w:rsidRPr="00F749DA">
        <w:t xml:space="preserve">. La dimensione “mercato”, cioè </w:t>
      </w:r>
      <w:r>
        <w:t>l’inevitabile fatto che i sistemi locali e i loro attori economici principali si devono</w:t>
      </w:r>
      <w:r w:rsidRPr="00F749DA">
        <w:t xml:space="preserve"> confrontar</w:t>
      </w:r>
      <w:r>
        <w:t>e</w:t>
      </w:r>
      <w:r w:rsidRPr="00F749DA">
        <w:t xml:space="preserve"> con la domanda e le preferenze di consumatori e investitori</w:t>
      </w:r>
      <w:r>
        <w:t xml:space="preserve"> nello spazio nazionale, europeo e persino globale deve essere vista come una pre-condizione dello sviluppo. Le politiche nazionali ed europee possono svolgere una funzione decisiva</w:t>
      </w:r>
      <w:r w:rsidRPr="00F749DA">
        <w:t xml:space="preserve"> è altrettanto decisiva. </w:t>
      </w:r>
    </w:p>
    <w:p w:rsidR="006013CA" w:rsidRDefault="006013CA" w:rsidP="00EA7C8D">
      <w:pPr>
        <w:spacing w:after="120" w:line="240" w:lineRule="auto"/>
      </w:pPr>
      <w:r>
        <w:t xml:space="preserve">La terza precondizione è di nuovo interna e può essere descritta con l’espressione “lavoro”. La traiettoria seguita dalle aree interne negli ultimi decenni ha svuotato di lavoro il territorio. Da una parte le fasce della popolazione in età lavorativa sono molto ridotte (così come i tassi attività), dall’altra la conoscenza incorporata nel lavoro si è progressivamente ridotta. </w:t>
      </w:r>
      <w:r w:rsidRPr="00F749DA">
        <w:t xml:space="preserve">Ma </w:t>
      </w:r>
      <w:r>
        <w:t xml:space="preserve">la ricostruzione economica delle aree interne non può avvenire senza che il </w:t>
      </w:r>
      <w:r w:rsidRPr="008D7138">
        <w:rPr>
          <w:b/>
        </w:rPr>
        <w:t>lavoro ritorni centrale nei sistemi delle aree interne</w:t>
      </w:r>
      <w:r>
        <w:t>: attraverso l’immigrazione e la ricostituzione di una solida fascia di popolazione in età lavorativa, attraverso un aumento della conoscenza astratta e pratica incorporata nel lavoro (necessaria per produrre quei beni/servizi per i quali esiste una domanda nello spazio nazionale, europeo/globale.</w:t>
      </w:r>
    </w:p>
    <w:p w:rsidR="006013CA" w:rsidRDefault="006013CA" w:rsidP="00EA7C8D">
      <w:pPr>
        <w:spacing w:after="120" w:line="240" w:lineRule="auto"/>
      </w:pPr>
      <w:r>
        <w:t>Le tre dimensioni – servizi di base, mercato e lavoro – sono interdipendenti. S</w:t>
      </w:r>
      <w:r w:rsidRPr="00F749DA">
        <w:t>e non è accompagnata dal lavoro, da una forte</w:t>
      </w:r>
      <w:r>
        <w:rPr>
          <w:u w:val="single"/>
        </w:rPr>
        <w:t xml:space="preserve"> </w:t>
      </w:r>
      <w:r w:rsidRPr="00F749DA">
        <w:t xml:space="preserve">enfasi sulla capacità di intercettare la domanda con l’attivazione buon lavoro, la dimensione </w:t>
      </w:r>
      <w:r>
        <w:t xml:space="preserve">di </w:t>
      </w:r>
      <w:r w:rsidRPr="00F749DA">
        <w:t>mercato</w:t>
      </w:r>
      <w:r w:rsidRPr="00F749DA">
        <w:rPr>
          <w:u w:val="single"/>
        </w:rPr>
        <w:t xml:space="preserve"> </w:t>
      </w:r>
      <w:r w:rsidRPr="00F749DA">
        <w:t>non basta. Se un’area interna non ha una storia per la quale</w:t>
      </w:r>
      <w:r>
        <w:rPr>
          <w:u w:val="single"/>
        </w:rPr>
        <w:t xml:space="preserve"> </w:t>
      </w:r>
      <w:r w:rsidRPr="00F749DA">
        <w:t>il suo è un territorio che riceve una domanda, non avrà lavoro. E se non c’è lavoro,</w:t>
      </w:r>
      <w:r w:rsidRPr="00F749DA">
        <w:rPr>
          <w:u w:val="single"/>
        </w:rPr>
        <w:t xml:space="preserve"> </w:t>
      </w:r>
      <w:r w:rsidRPr="00F749DA">
        <w:t xml:space="preserve">il territorio </w:t>
      </w:r>
      <w:r>
        <w:t xml:space="preserve">è destinato a </w:t>
      </w:r>
      <w:r w:rsidRPr="00F749DA">
        <w:t>mor</w:t>
      </w:r>
      <w:r>
        <w:t>ir</w:t>
      </w:r>
      <w:r w:rsidRPr="00F749DA">
        <w:t xml:space="preserve">e. </w:t>
      </w:r>
      <w:r>
        <w:t>Ma senza un adeguato livello di servizi di base non ci sarà lavoro e non ci sarà la possibilità di costruire un progetto di sviluppo locale.</w:t>
      </w:r>
    </w:p>
    <w:p w:rsidR="006013CA" w:rsidRDefault="006013CA" w:rsidP="00EA7C8D">
      <w:pPr>
        <w:spacing w:after="120" w:line="240" w:lineRule="auto"/>
      </w:pPr>
    </w:p>
    <w:p w:rsidR="006013CA" w:rsidRPr="00EA7C8D" w:rsidRDefault="006013CA" w:rsidP="00A269F3">
      <w:pPr>
        <w:keepNext/>
        <w:tabs>
          <w:tab w:val="left" w:pos="993"/>
        </w:tabs>
        <w:spacing w:after="240" w:line="240" w:lineRule="auto"/>
        <w:rPr>
          <w:b/>
          <w:bCs/>
          <w:color w:val="4F81BD"/>
          <w:sz w:val="20"/>
          <w:szCs w:val="20"/>
          <w:lang w:eastAsia="it-IT"/>
        </w:rPr>
      </w:pPr>
      <w:r w:rsidRPr="00EA7C8D">
        <w:rPr>
          <w:b/>
          <w:bCs/>
          <w:color w:val="4F81BD"/>
          <w:sz w:val="20"/>
          <w:szCs w:val="20"/>
          <w:lang w:eastAsia="it-IT"/>
        </w:rPr>
        <w:t>Fig</w:t>
      </w:r>
      <w:r>
        <w:rPr>
          <w:b/>
          <w:bCs/>
          <w:color w:val="4F81BD"/>
          <w:sz w:val="20"/>
          <w:szCs w:val="20"/>
          <w:lang w:eastAsia="it-IT"/>
        </w:rPr>
        <w:t>ura</w:t>
      </w:r>
      <w:r w:rsidRPr="00EA7C8D">
        <w:rPr>
          <w:b/>
          <w:bCs/>
          <w:color w:val="4F81BD"/>
          <w:sz w:val="20"/>
          <w:szCs w:val="20"/>
          <w:lang w:eastAsia="it-IT"/>
        </w:rPr>
        <w:t xml:space="preserve"> 1.3 </w:t>
      </w:r>
      <w:r>
        <w:rPr>
          <w:b/>
          <w:bCs/>
          <w:color w:val="4F81BD"/>
          <w:sz w:val="20"/>
          <w:szCs w:val="20"/>
          <w:lang w:eastAsia="it-IT"/>
        </w:rPr>
        <w:t>-</w:t>
      </w:r>
      <w:r>
        <w:rPr>
          <w:b/>
          <w:bCs/>
          <w:color w:val="4F81BD"/>
          <w:sz w:val="20"/>
          <w:szCs w:val="20"/>
          <w:lang w:eastAsia="it-IT"/>
        </w:rPr>
        <w:tab/>
      </w:r>
      <w:r w:rsidRPr="00EA7C8D">
        <w:rPr>
          <w:b/>
          <w:bCs/>
          <w:color w:val="4F81BD"/>
          <w:sz w:val="20"/>
          <w:szCs w:val="20"/>
          <w:lang w:eastAsia="it-IT"/>
        </w:rPr>
        <w:t>Le precondizioni dello sviluppo locale</w:t>
      </w:r>
    </w:p>
    <w:p w:rsidR="006013CA" w:rsidRPr="007960B4" w:rsidRDefault="006013CA" w:rsidP="00D317D9">
      <w:pPr>
        <w:rPr>
          <w:lang w:eastAsia="it-IT"/>
        </w:rPr>
      </w:pPr>
      <w:r w:rsidRPr="004A090A">
        <w:t xml:space="preserve"> </w:t>
      </w:r>
      <w:r w:rsidRPr="00495831">
        <w:rPr>
          <w:noProof/>
          <w:lang w:eastAsia="it-IT"/>
        </w:rPr>
        <w:pict>
          <v:shape id="_x0000_i1027" type="#_x0000_t75" style="width:368.25pt;height:303.75pt;visibility:visible">
            <v:imagedata r:id="rId11" o:title=""/>
          </v:shape>
        </w:pict>
      </w:r>
    </w:p>
    <w:p w:rsidR="006013CA" w:rsidRDefault="006013CA" w:rsidP="00EA7C8D">
      <w:pPr>
        <w:spacing w:after="0" w:line="240" w:lineRule="auto"/>
        <w:rPr>
          <w:lang w:eastAsia="it-IT"/>
        </w:rPr>
      </w:pPr>
      <w:r>
        <w:rPr>
          <w:lang w:eastAsia="it-IT"/>
        </w:rPr>
        <w:t xml:space="preserve">Si può ora illustrare la logica causale della strategia, illustrata nella Figura 1.4. </w:t>
      </w:r>
    </w:p>
    <w:p w:rsidR="006013CA" w:rsidRDefault="006013CA" w:rsidP="00EA7C8D">
      <w:pPr>
        <w:spacing w:after="120" w:line="240" w:lineRule="auto"/>
        <w:rPr>
          <w:lang w:eastAsia="it-IT"/>
        </w:rPr>
      </w:pPr>
      <w:r>
        <w:rPr>
          <w:lang w:eastAsia="it-IT"/>
        </w:rPr>
        <w:t>I progetti di sviluppo locale locali sono il fondamentale strumento per la promozione dello sviluppo locale. Si ritiene che siano quattro gli ambiti di intervento che si devono preferire, cioè all’interno dei quali devono ricadere i progetti di sviluppo locale:</w:t>
      </w:r>
    </w:p>
    <w:p w:rsidR="006013CA" w:rsidRPr="00EA7C8D" w:rsidRDefault="006013CA" w:rsidP="00EA7C8D">
      <w:pPr>
        <w:pStyle w:val="ListParagraph"/>
        <w:numPr>
          <w:ilvl w:val="0"/>
          <w:numId w:val="36"/>
        </w:numPr>
        <w:spacing w:after="120" w:line="240" w:lineRule="auto"/>
        <w:ind w:left="714" w:hanging="357"/>
        <w:contextualSpacing w:val="0"/>
        <w:rPr>
          <w:bCs/>
          <w:szCs w:val="28"/>
          <w:lang w:eastAsia="it-IT"/>
        </w:rPr>
      </w:pPr>
      <w:r w:rsidRPr="00EA7C8D">
        <w:rPr>
          <w:bCs/>
          <w:szCs w:val="28"/>
          <w:lang w:eastAsia="it-IT"/>
        </w:rPr>
        <w:t>Tutela del territorio/sostenibilità ambientale</w:t>
      </w:r>
    </w:p>
    <w:p w:rsidR="006013CA" w:rsidRPr="00EA7C8D" w:rsidRDefault="006013CA" w:rsidP="00EA7C8D">
      <w:pPr>
        <w:pStyle w:val="ListParagraph"/>
        <w:numPr>
          <w:ilvl w:val="0"/>
          <w:numId w:val="36"/>
        </w:numPr>
        <w:spacing w:after="120" w:line="240" w:lineRule="auto"/>
        <w:ind w:left="714" w:hanging="357"/>
        <w:contextualSpacing w:val="0"/>
        <w:rPr>
          <w:bCs/>
          <w:szCs w:val="28"/>
          <w:lang w:eastAsia="it-IT"/>
        </w:rPr>
      </w:pPr>
      <w:r w:rsidRPr="00EA7C8D">
        <w:rPr>
          <w:bCs/>
          <w:szCs w:val="28"/>
          <w:lang w:eastAsia="it-IT"/>
        </w:rPr>
        <w:t>Valorizzazione del capitale naturale/culturale</w:t>
      </w:r>
    </w:p>
    <w:p w:rsidR="006013CA" w:rsidRPr="00EA7C8D" w:rsidRDefault="006013CA" w:rsidP="00EA7C8D">
      <w:pPr>
        <w:pStyle w:val="ListParagraph"/>
        <w:numPr>
          <w:ilvl w:val="0"/>
          <w:numId w:val="36"/>
        </w:numPr>
        <w:spacing w:after="120" w:line="240" w:lineRule="auto"/>
        <w:ind w:left="714" w:hanging="357"/>
        <w:contextualSpacing w:val="0"/>
        <w:rPr>
          <w:bCs/>
          <w:szCs w:val="28"/>
          <w:lang w:eastAsia="it-IT"/>
        </w:rPr>
      </w:pPr>
      <w:r w:rsidRPr="00EA7C8D">
        <w:rPr>
          <w:bCs/>
          <w:szCs w:val="28"/>
          <w:lang w:eastAsia="it-IT"/>
        </w:rPr>
        <w:t>Valorizzazione dei sistemi agro-alimentari</w:t>
      </w:r>
    </w:p>
    <w:p w:rsidR="006013CA" w:rsidRPr="00EA7C8D" w:rsidRDefault="006013CA" w:rsidP="00EA7C8D">
      <w:pPr>
        <w:pStyle w:val="ListParagraph"/>
        <w:numPr>
          <w:ilvl w:val="0"/>
          <w:numId w:val="36"/>
        </w:numPr>
        <w:spacing w:after="120" w:line="240" w:lineRule="auto"/>
        <w:ind w:left="714" w:hanging="357"/>
        <w:contextualSpacing w:val="0"/>
        <w:rPr>
          <w:bCs/>
          <w:szCs w:val="28"/>
          <w:lang w:eastAsia="it-IT"/>
        </w:rPr>
      </w:pPr>
      <w:r w:rsidRPr="00EA7C8D">
        <w:rPr>
          <w:bCs/>
          <w:szCs w:val="28"/>
          <w:lang w:eastAsia="it-IT"/>
        </w:rPr>
        <w:t xml:space="preserve">Filiere delle energie rinnovabili </w:t>
      </w:r>
    </w:p>
    <w:p w:rsidR="006013CA" w:rsidRDefault="006013CA" w:rsidP="00EA7C8D">
      <w:pPr>
        <w:spacing w:after="120" w:line="240" w:lineRule="auto"/>
        <w:rPr>
          <w:lang w:eastAsia="it-IT"/>
        </w:rPr>
      </w:pPr>
      <w:r>
        <w:rPr>
          <w:lang w:eastAsia="it-IT"/>
        </w:rPr>
        <w:t>L’analisi di questa componente della strategia è condotta nel capitolo 4. Per ora si sottolinea come la tipologia di effetti di questi categorie di progetti promuovo la crescita economica e riducono i costi sociali, componendosi in una “traiettoria di sviluppo economico sostenibile”. Tuttavia, come già richiamato questi progetti diventano efficaci soltanto se il territorio “si è predisposto ad accogliere” questa progettualità assicurando la sussistenza delle condizioni necessarie</w:t>
      </w:r>
    </w:p>
    <w:p w:rsidR="006013CA" w:rsidRDefault="006013CA" w:rsidP="00EA7C8D">
      <w:pPr>
        <w:spacing w:after="0" w:line="240" w:lineRule="auto"/>
      </w:pPr>
    </w:p>
    <w:p w:rsidR="006013CA" w:rsidRPr="00EA7C8D" w:rsidRDefault="006013CA" w:rsidP="00A269F3">
      <w:pPr>
        <w:keepNext/>
        <w:tabs>
          <w:tab w:val="left" w:pos="1134"/>
        </w:tabs>
        <w:spacing w:after="240" w:line="240" w:lineRule="auto"/>
        <w:rPr>
          <w:b/>
          <w:bCs/>
          <w:color w:val="4F81BD"/>
          <w:sz w:val="20"/>
          <w:szCs w:val="20"/>
          <w:lang w:eastAsia="it-IT"/>
        </w:rPr>
      </w:pPr>
      <w:r w:rsidRPr="00EA7C8D">
        <w:rPr>
          <w:b/>
          <w:bCs/>
          <w:color w:val="4F81BD"/>
          <w:sz w:val="20"/>
          <w:szCs w:val="20"/>
          <w:lang w:eastAsia="it-IT"/>
        </w:rPr>
        <w:t>Fig</w:t>
      </w:r>
      <w:r>
        <w:rPr>
          <w:b/>
          <w:bCs/>
          <w:color w:val="4F81BD"/>
          <w:sz w:val="20"/>
          <w:szCs w:val="20"/>
          <w:lang w:eastAsia="it-IT"/>
        </w:rPr>
        <w:t>ura</w:t>
      </w:r>
      <w:r w:rsidRPr="00EA7C8D">
        <w:rPr>
          <w:b/>
          <w:bCs/>
          <w:color w:val="4F81BD"/>
          <w:sz w:val="20"/>
          <w:szCs w:val="20"/>
          <w:lang w:eastAsia="it-IT"/>
        </w:rPr>
        <w:t xml:space="preserve"> 1.4 </w:t>
      </w:r>
      <w:r>
        <w:rPr>
          <w:b/>
          <w:bCs/>
          <w:color w:val="4F81BD"/>
          <w:sz w:val="20"/>
          <w:szCs w:val="20"/>
          <w:lang w:eastAsia="it-IT"/>
        </w:rPr>
        <w:t>-</w:t>
      </w:r>
      <w:r>
        <w:rPr>
          <w:b/>
          <w:bCs/>
          <w:color w:val="4F81BD"/>
          <w:sz w:val="20"/>
          <w:szCs w:val="20"/>
          <w:lang w:eastAsia="it-IT"/>
        </w:rPr>
        <w:tab/>
      </w:r>
      <w:r w:rsidRPr="00EA7C8D">
        <w:rPr>
          <w:b/>
          <w:bCs/>
          <w:color w:val="4F81BD"/>
          <w:sz w:val="20"/>
          <w:szCs w:val="20"/>
          <w:lang w:eastAsia="it-IT"/>
        </w:rPr>
        <w:t>Politiche ed effetti</w:t>
      </w:r>
    </w:p>
    <w:p w:rsidR="006013CA" w:rsidRPr="00A269F3" w:rsidRDefault="006013CA" w:rsidP="00A269F3">
      <w:pPr>
        <w:spacing w:after="120" w:line="240" w:lineRule="auto"/>
        <w:rPr>
          <w:lang w:eastAsia="it-IT"/>
        </w:rPr>
      </w:pPr>
      <w:r w:rsidRPr="00495831">
        <w:rPr>
          <w:noProof/>
          <w:lang w:eastAsia="it-IT"/>
        </w:rPr>
        <w:pict>
          <v:shape id="Immagine 9" o:spid="_x0000_i1028" type="#_x0000_t75" style="width:395.25pt;height:281.25pt;visibility:visible">
            <v:imagedata r:id="rId12" o:title=""/>
          </v:shape>
        </w:pict>
      </w:r>
    </w:p>
    <w:p w:rsidR="006013CA" w:rsidRPr="00A269F3" w:rsidRDefault="006013CA" w:rsidP="00A269F3">
      <w:pPr>
        <w:spacing w:after="120" w:line="240" w:lineRule="auto"/>
        <w:rPr>
          <w:lang w:eastAsia="it-IT"/>
        </w:rPr>
      </w:pPr>
    </w:p>
    <w:p w:rsidR="006013CA" w:rsidRDefault="006013CA" w:rsidP="00A269F3">
      <w:pPr>
        <w:spacing w:after="120" w:line="240" w:lineRule="auto"/>
        <w:rPr>
          <w:lang w:eastAsia="it-IT"/>
        </w:rPr>
      </w:pPr>
      <w:r>
        <w:br w:type="page"/>
      </w:r>
    </w:p>
    <w:p w:rsidR="006013CA" w:rsidRPr="00EA7C8D" w:rsidRDefault="006013CA" w:rsidP="00EA7C8D">
      <w:pPr>
        <w:pStyle w:val="Heading2"/>
        <w:spacing w:before="0" w:after="360" w:line="240" w:lineRule="auto"/>
        <w:rPr>
          <w:rFonts w:ascii="Garamond" w:hAnsi="Garamond"/>
        </w:rPr>
      </w:pPr>
      <w:bookmarkStart w:id="7" w:name="_Toc356901584"/>
      <w:r w:rsidRPr="00EA7C8D">
        <w:rPr>
          <w:rFonts w:ascii="Garamond" w:hAnsi="Garamond"/>
        </w:rPr>
        <w:t xml:space="preserve">2. </w:t>
      </w:r>
      <w:r w:rsidRPr="00EA7C8D">
        <w:rPr>
          <w:rFonts w:ascii="Garamond" w:hAnsi="Garamond"/>
        </w:rPr>
        <w:tab/>
        <w:t>Aree interne: identificazione e organizzazione territoriale</w:t>
      </w:r>
      <w:bookmarkEnd w:id="7"/>
    </w:p>
    <w:p w:rsidR="006013CA" w:rsidRPr="00EA7C8D" w:rsidRDefault="006013CA" w:rsidP="00EA7C8D">
      <w:pPr>
        <w:pStyle w:val="Heading3"/>
        <w:spacing w:before="0" w:after="240" w:line="240" w:lineRule="auto"/>
        <w:jc w:val="left"/>
        <w:rPr>
          <w:b/>
          <w:sz w:val="24"/>
          <w:szCs w:val="24"/>
        </w:rPr>
      </w:pPr>
      <w:bookmarkStart w:id="8" w:name="_Toc356901585"/>
      <w:r w:rsidRPr="00EA7C8D">
        <w:rPr>
          <w:b/>
          <w:sz w:val="24"/>
          <w:szCs w:val="24"/>
        </w:rPr>
        <w:t xml:space="preserve">2.1 </w:t>
      </w:r>
      <w:r>
        <w:rPr>
          <w:b/>
          <w:sz w:val="24"/>
          <w:szCs w:val="24"/>
        </w:rPr>
        <w:tab/>
      </w:r>
      <w:r w:rsidRPr="00EA7C8D">
        <w:rPr>
          <w:b/>
          <w:sz w:val="24"/>
          <w:szCs w:val="24"/>
        </w:rPr>
        <w:t>Identificazione</w:t>
      </w:r>
      <w:bookmarkEnd w:id="8"/>
    </w:p>
    <w:p w:rsidR="006013CA" w:rsidRDefault="006013CA" w:rsidP="00EA7C8D">
      <w:pPr>
        <w:spacing w:after="120" w:line="240" w:lineRule="auto"/>
        <w:rPr>
          <w:szCs w:val="28"/>
          <w:lang w:eastAsia="it-IT"/>
        </w:rPr>
      </w:pPr>
      <w:r w:rsidRPr="00A269F3">
        <w:rPr>
          <w:lang w:eastAsia="it-IT"/>
        </w:rPr>
        <w:t>La definizione generale di Aree interne quali “quella parte maggioritaria del territorio italiano caratterizzata dalla aggregazione di cittadini in centri minori, anche assai piccoli, spesso con limitata accessibilità a servizi essenziali” non si presta a un’identificazione univoca e centrale dei confini territoriali di riferimento: cosa sia “minore” o “limitato” e quali sono i “servizi essenziali” non può che appartenere alla valutazione collettiva dei cittadini che vivono in tali aree. Ma la definizione è comunque utile per comprendere le dimensioni delle tendenze demografiche e ambientali di queste aree e le forti differenze registrate all’interno del Paese. A tal fine – e solo a tal fine (non certo quello di fissare nuove zonizzazioni entro cui limitare la strategia) – è utile stabilire dei criteri.</w:t>
      </w:r>
      <w:r>
        <w:rPr>
          <w:lang w:eastAsia="it-IT"/>
        </w:rPr>
        <w:t xml:space="preserve"> </w:t>
      </w:r>
      <w:r w:rsidRPr="00A269F3">
        <w:rPr>
          <w:lang w:eastAsia="it-IT"/>
        </w:rPr>
        <w:t>Nel farlo si può scegliere il criterio tradizionale della distanza dai centri “maggiori” (che superano ad esempio la soglia dei 35000 abitanti) – ma così facendo – una serie di analisi statistiche hanno dimostrato che si perderebbe il riferimento all’accessibilità ai servizi essenziali. In Italia infatti ci sono città di queste dimensioni che non sono dotate di tutti i servizi selezionati, e ve ne sono invece più piccole e/o aggregazioni confinanti di Comuni più piccoli – in grado di offrire tali servizi.</w:t>
      </w:r>
    </w:p>
    <w:p w:rsidR="006013CA" w:rsidRPr="00605D41" w:rsidRDefault="006013CA">
      <w:pPr>
        <w:spacing w:after="120" w:line="240" w:lineRule="auto"/>
        <w:rPr>
          <w:szCs w:val="28"/>
          <w:lang w:eastAsia="it-IT"/>
        </w:rPr>
      </w:pPr>
      <w:r w:rsidRPr="00605D41">
        <w:rPr>
          <w:szCs w:val="28"/>
          <w:lang w:eastAsia="it-IT"/>
        </w:rPr>
        <w:t xml:space="preserve">L’individuazione delle Aree Interne del Paese parte </w:t>
      </w:r>
      <w:r>
        <w:rPr>
          <w:szCs w:val="28"/>
          <w:lang w:eastAsia="it-IT"/>
        </w:rPr>
        <w:t xml:space="preserve">dunque </w:t>
      </w:r>
      <w:r w:rsidRPr="00605D41">
        <w:rPr>
          <w:szCs w:val="28"/>
          <w:lang w:eastAsia="it-IT"/>
        </w:rPr>
        <w:t>da una lettura policentrica del territorio italiano, cioè un territorio caratterizzato da una rete di comuni o aggregazioni di comuni (</w:t>
      </w:r>
      <w:r w:rsidRPr="00605D41">
        <w:rPr>
          <w:i/>
          <w:szCs w:val="28"/>
          <w:lang w:eastAsia="it-IT"/>
        </w:rPr>
        <w:t>centri di offerta di servizi</w:t>
      </w:r>
      <w:r w:rsidRPr="00605D41">
        <w:rPr>
          <w:szCs w:val="28"/>
          <w:lang w:eastAsia="it-IT"/>
        </w:rPr>
        <w:t xml:space="preserve">) attorno ai quali gravitano aree caratterizzate da diversi livelli di perifericità spaziale. </w:t>
      </w:r>
    </w:p>
    <w:p w:rsidR="006013CA" w:rsidRPr="00A269F3" w:rsidRDefault="006013CA">
      <w:pPr>
        <w:spacing w:after="120" w:line="240" w:lineRule="auto"/>
        <w:rPr>
          <w:spacing w:val="-2"/>
          <w:szCs w:val="28"/>
          <w:lang w:eastAsia="it-IT"/>
        </w:rPr>
      </w:pPr>
      <w:r w:rsidRPr="00A269F3">
        <w:rPr>
          <w:spacing w:val="-2"/>
          <w:szCs w:val="28"/>
          <w:lang w:eastAsia="it-IT"/>
        </w:rPr>
        <w:t>I presupposti teorici da cui la mappatura prende le mosse sono i seguenti: 1) l’Italia è caratterizzata da una rete di centri urbani estremamente fitta e differenziata; tali centri offrono una rosa estesa di servizi essenziali, capaci di generare importanti bacini d’utenza, anche a distanza, e di fungere da “attrattori” (nel senso gravitazionale); 2) il livello di perifericità dei territori (in un senso spaziale) rispetto alla rete di centri urbani influenza la qualità della vita dei cittadini e il loro livello di inclusione sociale; 3) le relazioni funzionali che si creano tra poli e territori più o meno periferici possono essere assai diverse.</w:t>
      </w:r>
    </w:p>
    <w:p w:rsidR="006013CA" w:rsidRPr="00605D41" w:rsidRDefault="006013CA">
      <w:pPr>
        <w:spacing w:after="120" w:line="240" w:lineRule="auto"/>
        <w:rPr>
          <w:szCs w:val="28"/>
          <w:lang w:eastAsia="it-IT"/>
        </w:rPr>
      </w:pPr>
      <w:r w:rsidRPr="00605D41">
        <w:rPr>
          <w:szCs w:val="28"/>
          <w:lang w:eastAsia="it-IT"/>
        </w:rPr>
        <w:t>Il “Centro di offerta di servizi” viene individuato come quel comune o aggregato di comuni confinanti, in grado di offrire simultaneamente tutta l’offerta scolastica secondaria, almeno un ospedale sede di DEA di I livello</w:t>
      </w:r>
      <w:r w:rsidRPr="00605D41">
        <w:rPr>
          <w:szCs w:val="28"/>
          <w:vertAlign w:val="superscript"/>
          <w:lang w:eastAsia="it-IT"/>
        </w:rPr>
        <w:footnoteReference w:id="1"/>
      </w:r>
      <w:r w:rsidRPr="00605D41">
        <w:rPr>
          <w:szCs w:val="28"/>
          <w:lang w:eastAsia="it-IT"/>
        </w:rPr>
        <w:t xml:space="preserve"> e almeno una stazione ferroviaria di categoria Silver</w:t>
      </w:r>
      <w:r w:rsidRPr="00605D41">
        <w:rPr>
          <w:szCs w:val="28"/>
          <w:vertAlign w:val="superscript"/>
          <w:lang w:eastAsia="it-IT"/>
        </w:rPr>
        <w:footnoteReference w:id="2"/>
      </w:r>
      <w:r w:rsidRPr="00605D41">
        <w:rPr>
          <w:szCs w:val="28"/>
          <w:lang w:eastAsia="it-IT"/>
        </w:rPr>
        <w:t xml:space="preserve">. L’introduzione del servizio ferroviario, assieme a due servizi essenziali quali l’istruzione e la salute, si spiega con il valore che la mobilità ferroviaria ha rivestito in questo Paese, nell’ottica del pieno rispetto del diritto alla cittadinanza. Si reputa pertanto fondante la presenza di una stazione ferroviaria di qualità media nella rete dei Centri di offerta di servizi. </w:t>
      </w:r>
    </w:p>
    <w:p w:rsidR="006013CA" w:rsidRPr="00605D41" w:rsidRDefault="006013CA">
      <w:pPr>
        <w:spacing w:after="120" w:line="240" w:lineRule="auto"/>
        <w:rPr>
          <w:szCs w:val="28"/>
          <w:lang w:eastAsia="it-IT"/>
        </w:rPr>
      </w:pPr>
      <w:r w:rsidRPr="00605D41">
        <w:rPr>
          <w:szCs w:val="28"/>
          <w:lang w:eastAsia="it-IT"/>
        </w:rPr>
        <w:t>All’individuazione dei Centri</w:t>
      </w:r>
      <w:r w:rsidRPr="00605D41">
        <w:rPr>
          <w:szCs w:val="28"/>
          <w:vertAlign w:val="superscript"/>
          <w:lang w:eastAsia="it-IT"/>
        </w:rPr>
        <w:footnoteReference w:id="3"/>
      </w:r>
      <w:r w:rsidRPr="00605D41">
        <w:rPr>
          <w:szCs w:val="28"/>
          <w:lang w:eastAsia="it-IT"/>
        </w:rPr>
        <w:t xml:space="preserve"> fa seguito la classificazione dei restanti comuni in 4 fasce: aree di cintura; aree intermedie; aree periferiche e aree ultra periferiche. Essa è stata ottenuta sulla base di un indicatore di accessibilità calcolato in termini di minuti di percorrenza rispetto al polo più prossimo</w:t>
      </w:r>
      <w:r w:rsidRPr="00605D41">
        <w:rPr>
          <w:szCs w:val="28"/>
          <w:vertAlign w:val="superscript"/>
          <w:lang w:eastAsia="it-IT"/>
        </w:rPr>
        <w:footnoteReference w:id="4"/>
      </w:r>
      <w:r w:rsidRPr="00605D41">
        <w:rPr>
          <w:szCs w:val="28"/>
          <w:lang w:eastAsia="it-IT"/>
        </w:rPr>
        <w:t xml:space="preserve">. Le fasce sono calcolate usando i terzili della distribuzione della distanza in minuti dal polo prossimo, pari a circa 20 e 40 minuti. È stata poi inserita una terza fascia, oltre 75 minuti, pari al 95-esimo percentile, per individuare i territori ultra periferici (Figura </w:t>
      </w:r>
      <w:r>
        <w:rPr>
          <w:szCs w:val="28"/>
          <w:lang w:eastAsia="it-IT"/>
        </w:rPr>
        <w:t>2.</w:t>
      </w:r>
      <w:r w:rsidRPr="00605D41">
        <w:rPr>
          <w:szCs w:val="28"/>
          <w:lang w:eastAsia="it-IT"/>
        </w:rPr>
        <w:t>1)</w:t>
      </w:r>
      <w:r w:rsidRPr="00605D41">
        <w:rPr>
          <w:szCs w:val="28"/>
          <w:vertAlign w:val="superscript"/>
          <w:lang w:eastAsia="it-IT"/>
        </w:rPr>
        <w:footnoteReference w:id="5"/>
      </w:r>
      <w:r w:rsidRPr="00605D41">
        <w:rPr>
          <w:szCs w:val="28"/>
          <w:lang w:eastAsia="it-IT"/>
        </w:rPr>
        <w:t>.</w:t>
      </w:r>
    </w:p>
    <w:p w:rsidR="006013CA" w:rsidRPr="00605D41" w:rsidRDefault="006013CA">
      <w:pPr>
        <w:spacing w:after="120" w:line="240" w:lineRule="auto"/>
        <w:rPr>
          <w:szCs w:val="28"/>
          <w:lang w:eastAsia="it-IT"/>
        </w:rPr>
      </w:pPr>
      <w:r w:rsidRPr="00605D41">
        <w:rPr>
          <w:szCs w:val="28"/>
          <w:lang w:eastAsia="it-IT"/>
        </w:rPr>
        <w:t>L’ipotesi portante della metodologia adottata è quella che identifica in prima istanza la natura di Area Interna nella ”lontananza” dai servizi essenziali. In questa accezione, Area Interna non è necessariamente sinonimo di “area debole”</w:t>
      </w:r>
      <w:r>
        <w:rPr>
          <w:szCs w:val="28"/>
          <w:lang w:eastAsia="it-IT"/>
        </w:rPr>
        <w:t xml:space="preserve"> in assoluto</w:t>
      </w:r>
      <w:r w:rsidRPr="00605D41">
        <w:rPr>
          <w:szCs w:val="28"/>
          <w:lang w:eastAsia="it-IT"/>
        </w:rPr>
        <w:t>. Il grado di perifericità individua piuttosto una caratteristica delle aree che peraltro si riferisce esclusivamente agli aspetti considerati (servizi scolastici, sanitari e di trasporto ferroviario). Solo attraverso l’esame delle caratteristiche e della dinamica della struttura demografica e socio-economica delle aree individuate si può avere una lettura completa dei diversi percorsi di sviluppo territoriale.</w:t>
      </w:r>
    </w:p>
    <w:p w:rsidR="006013CA" w:rsidRPr="00605D41" w:rsidRDefault="006013CA" w:rsidP="00034E57">
      <w:pPr>
        <w:spacing w:after="0" w:line="240" w:lineRule="auto"/>
        <w:rPr>
          <w:szCs w:val="28"/>
          <w:lang w:eastAsia="it-IT"/>
        </w:rPr>
      </w:pPr>
    </w:p>
    <w:p w:rsidR="006013CA" w:rsidRPr="00EA7C8D" w:rsidRDefault="006013CA" w:rsidP="00EA7C8D">
      <w:pPr>
        <w:tabs>
          <w:tab w:val="left" w:pos="993"/>
        </w:tabs>
        <w:spacing w:after="120" w:line="240" w:lineRule="auto"/>
        <w:rPr>
          <w:b/>
          <w:bCs/>
          <w:color w:val="4F81BD"/>
          <w:sz w:val="20"/>
          <w:szCs w:val="20"/>
          <w:lang w:eastAsia="it-IT"/>
        </w:rPr>
      </w:pPr>
      <w:r w:rsidRPr="00EA7C8D">
        <w:rPr>
          <w:b/>
          <w:bCs/>
          <w:color w:val="4F81BD"/>
          <w:sz w:val="20"/>
          <w:szCs w:val="20"/>
          <w:lang w:eastAsia="it-IT"/>
        </w:rPr>
        <w:t xml:space="preserve">Figura </w:t>
      </w:r>
      <w:r>
        <w:rPr>
          <w:b/>
          <w:bCs/>
          <w:color w:val="4F81BD"/>
          <w:sz w:val="20"/>
          <w:szCs w:val="20"/>
          <w:lang w:eastAsia="it-IT"/>
        </w:rPr>
        <w:t>2.</w:t>
      </w:r>
      <w:r w:rsidRPr="00EA7C8D">
        <w:rPr>
          <w:b/>
          <w:bCs/>
          <w:color w:val="4F81BD"/>
          <w:sz w:val="20"/>
          <w:szCs w:val="20"/>
          <w:lang w:eastAsia="it-IT"/>
        </w:rPr>
        <w:t>1 -</w:t>
      </w:r>
      <w:r w:rsidRPr="00EA7C8D">
        <w:rPr>
          <w:b/>
          <w:bCs/>
          <w:color w:val="4F81BD"/>
          <w:sz w:val="20"/>
          <w:szCs w:val="20"/>
          <w:lang w:eastAsia="it-IT"/>
        </w:rPr>
        <w:tab/>
        <w:t>Classificazione dei comuni secondo livelli di perifericità</w:t>
      </w:r>
    </w:p>
    <w:p w:rsidR="006013CA" w:rsidRDefault="006013CA" w:rsidP="00605D41">
      <w:pPr>
        <w:spacing w:after="120" w:line="240" w:lineRule="auto"/>
        <w:rPr>
          <w:b/>
          <w:szCs w:val="28"/>
          <w:lang w:eastAsia="it-IT"/>
        </w:rPr>
      </w:pPr>
      <w:r w:rsidRPr="00F5029E">
        <w:rPr>
          <w:b/>
          <w:noProof/>
          <w:szCs w:val="28"/>
          <w:lang w:eastAsia="it-IT"/>
        </w:rPr>
        <w:pict>
          <v:shape id="_x0000_i1029" type="#_x0000_t75" style="width:403.5pt;height:130.5pt;visibility:visible">
            <v:imagedata r:id="rId13" o:title=""/>
          </v:shape>
        </w:pict>
      </w:r>
    </w:p>
    <w:p w:rsidR="006013CA" w:rsidRPr="00605D41" w:rsidRDefault="006013CA" w:rsidP="00605D41">
      <w:pPr>
        <w:spacing w:after="120" w:line="240" w:lineRule="auto"/>
        <w:rPr>
          <w:b/>
          <w:szCs w:val="28"/>
          <w:lang w:eastAsia="it-IT"/>
        </w:rPr>
      </w:pPr>
    </w:p>
    <w:p w:rsidR="006013CA" w:rsidRPr="00605D41" w:rsidRDefault="006013CA" w:rsidP="00A269F3">
      <w:pPr>
        <w:spacing w:after="0" w:line="240" w:lineRule="auto"/>
        <w:rPr>
          <w:bCs/>
          <w:szCs w:val="28"/>
          <w:lang w:eastAsia="it-IT"/>
        </w:rPr>
      </w:pPr>
      <w:r w:rsidRPr="00605D41">
        <w:rPr>
          <w:bCs/>
          <w:szCs w:val="28"/>
          <w:lang w:eastAsia="it-IT"/>
        </w:rPr>
        <w:t xml:space="preserve">Le Aree interne così individuate, risultanti dalla somma tra aree intermedie, aree periferiche e aree ultra-periferiche, rappresentano il 53 per cento circa dei comuni italiani (4.261) cui fa capo il 23 per cento della popolazione italiana secondo l’ultimo censimento, pari a oltre 13,540 abitanti, residente in una porzione del territorio che supera il 60 per cento (Tabella </w:t>
      </w:r>
      <w:r>
        <w:rPr>
          <w:bCs/>
          <w:szCs w:val="28"/>
          <w:lang w:eastAsia="it-IT"/>
        </w:rPr>
        <w:t>2.</w:t>
      </w:r>
      <w:r w:rsidRPr="00605D41">
        <w:rPr>
          <w:bCs/>
          <w:szCs w:val="28"/>
          <w:lang w:eastAsia="it-IT"/>
        </w:rPr>
        <w:t>1).</w:t>
      </w:r>
    </w:p>
    <w:p w:rsidR="006013CA" w:rsidRPr="00605D41" w:rsidRDefault="006013CA" w:rsidP="00034E57">
      <w:pPr>
        <w:spacing w:after="0" w:line="240" w:lineRule="auto"/>
        <w:rPr>
          <w:b/>
          <w:bCs/>
          <w:szCs w:val="28"/>
          <w:lang w:eastAsia="it-IT"/>
        </w:rPr>
      </w:pPr>
    </w:p>
    <w:p w:rsidR="006013CA" w:rsidRPr="00EA7C8D" w:rsidRDefault="006013CA" w:rsidP="00EA7C8D">
      <w:pPr>
        <w:tabs>
          <w:tab w:val="left" w:pos="993"/>
        </w:tabs>
        <w:spacing w:after="120" w:line="240" w:lineRule="auto"/>
        <w:rPr>
          <w:b/>
          <w:bCs/>
          <w:color w:val="4F81BD"/>
          <w:sz w:val="20"/>
          <w:szCs w:val="20"/>
          <w:lang w:eastAsia="it-IT"/>
        </w:rPr>
      </w:pPr>
      <w:r w:rsidRPr="00EA7C8D">
        <w:rPr>
          <w:b/>
          <w:bCs/>
          <w:color w:val="4F81BD"/>
          <w:sz w:val="20"/>
          <w:szCs w:val="20"/>
          <w:lang w:eastAsia="it-IT"/>
        </w:rPr>
        <w:t xml:space="preserve">Tabella </w:t>
      </w:r>
      <w:r>
        <w:rPr>
          <w:b/>
          <w:bCs/>
          <w:color w:val="4F81BD"/>
          <w:sz w:val="20"/>
          <w:szCs w:val="20"/>
          <w:lang w:eastAsia="it-IT"/>
        </w:rPr>
        <w:t>2.</w:t>
      </w:r>
      <w:r w:rsidRPr="00EA7C8D">
        <w:rPr>
          <w:b/>
          <w:bCs/>
          <w:color w:val="4F81BD"/>
          <w:sz w:val="20"/>
          <w:szCs w:val="20"/>
          <w:lang w:eastAsia="it-IT"/>
        </w:rPr>
        <w:t>1 -</w:t>
      </w:r>
      <w:r w:rsidRPr="00EA7C8D">
        <w:rPr>
          <w:b/>
          <w:bCs/>
          <w:color w:val="4F81BD"/>
          <w:sz w:val="20"/>
          <w:szCs w:val="20"/>
          <w:lang w:eastAsia="it-IT"/>
        </w:rPr>
        <w:tab/>
        <w:t>Principali caratteristiche dei comuni classificati secondo la metodologia proposta</w:t>
      </w:r>
    </w:p>
    <w:tbl>
      <w:tblPr>
        <w:tblW w:w="8897" w:type="dxa"/>
        <w:tblLayout w:type="fixed"/>
        <w:tblLook w:val="00A0"/>
      </w:tblPr>
      <w:tblGrid>
        <w:gridCol w:w="1717"/>
        <w:gridCol w:w="728"/>
        <w:gridCol w:w="640"/>
        <w:gridCol w:w="1134"/>
        <w:gridCol w:w="1182"/>
        <w:gridCol w:w="661"/>
        <w:gridCol w:w="1089"/>
        <w:gridCol w:w="1021"/>
        <w:gridCol w:w="725"/>
      </w:tblGrid>
      <w:tr w:rsidR="006013CA" w:rsidRPr="00B56F3A" w:rsidTr="00F5029E">
        <w:tc>
          <w:tcPr>
            <w:tcW w:w="1717"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Classificazione Comuni</w:t>
            </w:r>
          </w:p>
        </w:tc>
        <w:tc>
          <w:tcPr>
            <w:tcW w:w="728"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Numero</w:t>
            </w:r>
          </w:p>
        </w:tc>
        <w:tc>
          <w:tcPr>
            <w:tcW w:w="640"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w:t>
            </w:r>
          </w:p>
        </w:tc>
        <w:tc>
          <w:tcPr>
            <w:tcW w:w="1134"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Altitudine</w:t>
            </w:r>
          </w:p>
        </w:tc>
        <w:tc>
          <w:tcPr>
            <w:tcW w:w="1182"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Popolazione</w:t>
            </w:r>
          </w:p>
        </w:tc>
        <w:tc>
          <w:tcPr>
            <w:tcW w:w="661"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w:t>
            </w:r>
          </w:p>
        </w:tc>
        <w:tc>
          <w:tcPr>
            <w:tcW w:w="1089" w:type="dxa"/>
            <w:tcBorders>
              <w:top w:val="single" w:sz="4" w:space="0" w:color="auto"/>
              <w:bottom w:val="single" w:sz="4" w:space="0" w:color="auto"/>
            </w:tcBorders>
            <w:vAlign w:val="center"/>
          </w:tcPr>
          <w:p w:rsidR="006013CA" w:rsidRPr="00F5029E" w:rsidRDefault="006013CA" w:rsidP="00F5029E">
            <w:pPr>
              <w:spacing w:after="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Variazione %</w:t>
            </w:r>
          </w:p>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1971-2011</w:t>
            </w:r>
          </w:p>
        </w:tc>
        <w:tc>
          <w:tcPr>
            <w:tcW w:w="1021"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Superficie</w:t>
            </w:r>
          </w:p>
        </w:tc>
        <w:tc>
          <w:tcPr>
            <w:tcW w:w="725" w:type="dxa"/>
            <w:tcBorders>
              <w:top w:val="single" w:sz="4" w:space="0" w:color="auto"/>
              <w:bottom w:val="single" w:sz="4" w:space="0" w:color="auto"/>
            </w:tcBorders>
            <w:vAlign w:val="center"/>
          </w:tcPr>
          <w:p w:rsidR="006013CA" w:rsidRPr="00F5029E" w:rsidRDefault="006013CA" w:rsidP="00F5029E">
            <w:pPr>
              <w:spacing w:after="120" w:line="240" w:lineRule="auto"/>
              <w:jc w:val="center"/>
              <w:rPr>
                <w:rFonts w:ascii="Calibri" w:hAnsi="Calibri" w:cs="Calibri"/>
                <w:b/>
                <w:bCs/>
                <w:sz w:val="18"/>
                <w:szCs w:val="18"/>
                <w:lang w:eastAsia="it-IT"/>
              </w:rPr>
            </w:pPr>
            <w:r w:rsidRPr="00F5029E">
              <w:rPr>
                <w:rFonts w:ascii="Calibri" w:hAnsi="Calibri" w:cs="Calibri"/>
                <w:b/>
                <w:bCs/>
                <w:sz w:val="18"/>
                <w:szCs w:val="18"/>
                <w:lang w:eastAsia="it-IT"/>
              </w:rPr>
              <w:t>%</w:t>
            </w:r>
          </w:p>
        </w:tc>
      </w:tr>
      <w:tr w:rsidR="006013CA" w:rsidRPr="00B56F3A" w:rsidTr="00F5029E">
        <w:tc>
          <w:tcPr>
            <w:tcW w:w="1717" w:type="dxa"/>
            <w:tcBorders>
              <w:top w:val="single" w:sz="4" w:space="0" w:color="auto"/>
            </w:tcBorders>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Polo</w:t>
            </w:r>
          </w:p>
        </w:tc>
        <w:tc>
          <w:tcPr>
            <w:tcW w:w="728"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219</w:t>
            </w:r>
          </w:p>
        </w:tc>
        <w:tc>
          <w:tcPr>
            <w:tcW w:w="640"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2,7</w:t>
            </w:r>
          </w:p>
        </w:tc>
        <w:tc>
          <w:tcPr>
            <w:tcW w:w="1134"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145</w:t>
            </w:r>
          </w:p>
        </w:tc>
        <w:tc>
          <w:tcPr>
            <w:tcW w:w="1182"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21.223.562</w:t>
            </w:r>
          </w:p>
        </w:tc>
        <w:tc>
          <w:tcPr>
            <w:tcW w:w="661"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35,7</w:t>
            </w:r>
          </w:p>
        </w:tc>
        <w:tc>
          <w:tcPr>
            <w:tcW w:w="1089"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-6,8</w:t>
            </w:r>
          </w:p>
        </w:tc>
        <w:tc>
          <w:tcPr>
            <w:tcW w:w="1021"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29.519</w:t>
            </w:r>
          </w:p>
        </w:tc>
        <w:tc>
          <w:tcPr>
            <w:tcW w:w="725" w:type="dxa"/>
            <w:tcBorders>
              <w:top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9,8</w:t>
            </w:r>
          </w:p>
        </w:tc>
      </w:tr>
      <w:tr w:rsidR="006013CA" w:rsidRPr="00B56F3A" w:rsidTr="00F5029E">
        <w:tc>
          <w:tcPr>
            <w:tcW w:w="1717" w:type="dxa"/>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Polo intercomunale</w:t>
            </w:r>
          </w:p>
        </w:tc>
        <w:tc>
          <w:tcPr>
            <w:tcW w:w="728"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104</w:t>
            </w:r>
          </w:p>
        </w:tc>
        <w:tc>
          <w:tcPr>
            <w:tcW w:w="640"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1,3</w:t>
            </w:r>
          </w:p>
        </w:tc>
        <w:tc>
          <w:tcPr>
            <w:tcW w:w="1134"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166</w:t>
            </w:r>
          </w:p>
        </w:tc>
        <w:tc>
          <w:tcPr>
            <w:tcW w:w="1182"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2.466.455</w:t>
            </w:r>
          </w:p>
        </w:tc>
        <w:tc>
          <w:tcPr>
            <w:tcW w:w="66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4,1</w:t>
            </w:r>
          </w:p>
        </w:tc>
        <w:tc>
          <w:tcPr>
            <w:tcW w:w="1089"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22,7</w:t>
            </w:r>
          </w:p>
        </w:tc>
        <w:tc>
          <w:tcPr>
            <w:tcW w:w="102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6.251</w:t>
            </w:r>
          </w:p>
        </w:tc>
        <w:tc>
          <w:tcPr>
            <w:tcW w:w="725"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2,1</w:t>
            </w:r>
          </w:p>
        </w:tc>
      </w:tr>
      <w:tr w:rsidR="006013CA" w:rsidRPr="00B56F3A" w:rsidTr="00F5029E">
        <w:tc>
          <w:tcPr>
            <w:tcW w:w="1717" w:type="dxa"/>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Cintura</w:t>
            </w:r>
          </w:p>
        </w:tc>
        <w:tc>
          <w:tcPr>
            <w:tcW w:w="728"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3508</w:t>
            </w:r>
          </w:p>
        </w:tc>
        <w:tc>
          <w:tcPr>
            <w:tcW w:w="640"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43,4</w:t>
            </w:r>
          </w:p>
        </w:tc>
        <w:tc>
          <w:tcPr>
            <w:tcW w:w="1134"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215</w:t>
            </w:r>
          </w:p>
        </w:tc>
        <w:tc>
          <w:tcPr>
            <w:tcW w:w="1182"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22.202.203</w:t>
            </w:r>
          </w:p>
        </w:tc>
        <w:tc>
          <w:tcPr>
            <w:tcW w:w="66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37,4</w:t>
            </w:r>
          </w:p>
        </w:tc>
        <w:tc>
          <w:tcPr>
            <w:tcW w:w="1089"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35,8</w:t>
            </w:r>
          </w:p>
        </w:tc>
        <w:tc>
          <w:tcPr>
            <w:tcW w:w="102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81.815</w:t>
            </w:r>
          </w:p>
        </w:tc>
        <w:tc>
          <w:tcPr>
            <w:tcW w:w="725"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27,1</w:t>
            </w:r>
          </w:p>
        </w:tc>
      </w:tr>
      <w:tr w:rsidR="006013CA" w:rsidRPr="00B56F3A" w:rsidTr="00F5029E">
        <w:tc>
          <w:tcPr>
            <w:tcW w:w="1717" w:type="dxa"/>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Intermedio</w:t>
            </w:r>
          </w:p>
        </w:tc>
        <w:tc>
          <w:tcPr>
            <w:tcW w:w="728"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2377</w:t>
            </w:r>
          </w:p>
        </w:tc>
        <w:tc>
          <w:tcPr>
            <w:tcW w:w="640"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29,4</w:t>
            </w:r>
          </w:p>
        </w:tc>
        <w:tc>
          <w:tcPr>
            <w:tcW w:w="1134"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395</w:t>
            </w:r>
          </w:p>
        </w:tc>
        <w:tc>
          <w:tcPr>
            <w:tcW w:w="1182"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8.953.282</w:t>
            </w:r>
          </w:p>
        </w:tc>
        <w:tc>
          <w:tcPr>
            <w:tcW w:w="66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15,1</w:t>
            </w:r>
          </w:p>
        </w:tc>
        <w:tc>
          <w:tcPr>
            <w:tcW w:w="1089"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11,6</w:t>
            </w:r>
          </w:p>
        </w:tc>
        <w:tc>
          <w:tcPr>
            <w:tcW w:w="102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89.448</w:t>
            </w:r>
          </w:p>
        </w:tc>
        <w:tc>
          <w:tcPr>
            <w:tcW w:w="725"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29,6</w:t>
            </w:r>
          </w:p>
        </w:tc>
      </w:tr>
      <w:tr w:rsidR="006013CA" w:rsidRPr="00B56F3A" w:rsidTr="00F5029E">
        <w:tc>
          <w:tcPr>
            <w:tcW w:w="1717" w:type="dxa"/>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Periferico</w:t>
            </w:r>
          </w:p>
        </w:tc>
        <w:tc>
          <w:tcPr>
            <w:tcW w:w="728"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1526</w:t>
            </w:r>
          </w:p>
        </w:tc>
        <w:tc>
          <w:tcPr>
            <w:tcW w:w="640"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18,9</w:t>
            </w:r>
          </w:p>
        </w:tc>
        <w:tc>
          <w:tcPr>
            <w:tcW w:w="1134"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607</w:t>
            </w:r>
          </w:p>
        </w:tc>
        <w:tc>
          <w:tcPr>
            <w:tcW w:w="1182"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3.671.372</w:t>
            </w:r>
          </w:p>
        </w:tc>
        <w:tc>
          <w:tcPr>
            <w:tcW w:w="66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6,2</w:t>
            </w:r>
          </w:p>
        </w:tc>
        <w:tc>
          <w:tcPr>
            <w:tcW w:w="1089"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-8,1</w:t>
            </w:r>
          </w:p>
        </w:tc>
        <w:tc>
          <w:tcPr>
            <w:tcW w:w="1021"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73.256</w:t>
            </w:r>
          </w:p>
        </w:tc>
        <w:tc>
          <w:tcPr>
            <w:tcW w:w="725" w:type="dxa"/>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24,3</w:t>
            </w:r>
          </w:p>
        </w:tc>
      </w:tr>
      <w:tr w:rsidR="006013CA" w:rsidRPr="00B56F3A" w:rsidTr="00F5029E">
        <w:tc>
          <w:tcPr>
            <w:tcW w:w="1717" w:type="dxa"/>
            <w:tcBorders>
              <w:bottom w:val="single" w:sz="4" w:space="0" w:color="auto"/>
            </w:tcBorders>
          </w:tcPr>
          <w:p w:rsidR="006013CA" w:rsidRPr="00F5029E" w:rsidRDefault="006013CA" w:rsidP="00F5029E">
            <w:pPr>
              <w:spacing w:after="0" w:line="240" w:lineRule="auto"/>
              <w:rPr>
                <w:rFonts w:ascii="Calibri" w:hAnsi="Calibri" w:cs="Calibri"/>
                <w:bCs/>
                <w:sz w:val="18"/>
                <w:szCs w:val="18"/>
                <w:lang w:eastAsia="it-IT"/>
              </w:rPr>
            </w:pPr>
            <w:r w:rsidRPr="00F5029E">
              <w:rPr>
                <w:rFonts w:ascii="Calibri" w:hAnsi="Calibri" w:cs="Calibri"/>
                <w:bCs/>
                <w:sz w:val="18"/>
                <w:szCs w:val="18"/>
                <w:lang w:eastAsia="it-IT"/>
              </w:rPr>
              <w:t>Ultra-periferico</w:t>
            </w:r>
          </w:p>
        </w:tc>
        <w:tc>
          <w:tcPr>
            <w:tcW w:w="728"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358</w:t>
            </w:r>
          </w:p>
        </w:tc>
        <w:tc>
          <w:tcPr>
            <w:tcW w:w="640"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4,4</w:t>
            </w:r>
          </w:p>
        </w:tc>
        <w:tc>
          <w:tcPr>
            <w:tcW w:w="1134"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627</w:t>
            </w:r>
          </w:p>
        </w:tc>
        <w:tc>
          <w:tcPr>
            <w:tcW w:w="1182"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916.870</w:t>
            </w:r>
          </w:p>
        </w:tc>
        <w:tc>
          <w:tcPr>
            <w:tcW w:w="661"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1,5</w:t>
            </w:r>
          </w:p>
        </w:tc>
        <w:tc>
          <w:tcPr>
            <w:tcW w:w="1089"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-5,3</w:t>
            </w:r>
          </w:p>
        </w:tc>
        <w:tc>
          <w:tcPr>
            <w:tcW w:w="1021"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21.784</w:t>
            </w:r>
          </w:p>
        </w:tc>
        <w:tc>
          <w:tcPr>
            <w:tcW w:w="725" w:type="dxa"/>
            <w:tcBorders>
              <w:bottom w:val="single" w:sz="4" w:space="0" w:color="auto"/>
            </w:tcBorders>
          </w:tcPr>
          <w:p w:rsidR="006013CA" w:rsidRPr="00F5029E" w:rsidRDefault="006013CA" w:rsidP="00F5029E">
            <w:pPr>
              <w:spacing w:after="0" w:line="240" w:lineRule="auto"/>
              <w:jc w:val="right"/>
              <w:rPr>
                <w:rFonts w:ascii="Calibri" w:hAnsi="Calibri" w:cs="Calibri"/>
                <w:bCs/>
                <w:sz w:val="18"/>
                <w:szCs w:val="18"/>
                <w:lang w:eastAsia="it-IT"/>
              </w:rPr>
            </w:pPr>
            <w:r w:rsidRPr="00F5029E">
              <w:rPr>
                <w:rFonts w:ascii="Calibri" w:hAnsi="Calibri" w:cs="Calibri"/>
                <w:bCs/>
                <w:sz w:val="18"/>
                <w:szCs w:val="18"/>
                <w:lang w:eastAsia="it-IT"/>
              </w:rPr>
              <w:t>7,2</w:t>
            </w:r>
          </w:p>
        </w:tc>
      </w:tr>
      <w:tr w:rsidR="006013CA" w:rsidRPr="007C0B54" w:rsidTr="00F5029E">
        <w:tc>
          <w:tcPr>
            <w:tcW w:w="1717" w:type="dxa"/>
            <w:tcBorders>
              <w:top w:val="single" w:sz="4" w:space="0" w:color="auto"/>
              <w:bottom w:val="single" w:sz="4" w:space="0" w:color="auto"/>
            </w:tcBorders>
          </w:tcPr>
          <w:p w:rsidR="006013CA" w:rsidRPr="00F5029E" w:rsidRDefault="006013CA" w:rsidP="00F5029E">
            <w:pPr>
              <w:spacing w:after="0" w:line="240" w:lineRule="auto"/>
              <w:rPr>
                <w:rFonts w:ascii="Calibri" w:hAnsi="Calibri" w:cs="Calibri"/>
                <w:b/>
                <w:bCs/>
                <w:sz w:val="18"/>
                <w:szCs w:val="18"/>
                <w:lang w:eastAsia="it-IT"/>
              </w:rPr>
            </w:pPr>
            <w:r w:rsidRPr="00F5029E">
              <w:rPr>
                <w:rFonts w:ascii="Calibri" w:hAnsi="Calibri" w:cs="Calibri"/>
                <w:b/>
                <w:bCs/>
                <w:sz w:val="18"/>
                <w:szCs w:val="18"/>
                <w:lang w:eastAsia="it-IT"/>
              </w:rPr>
              <w:t>TOTALE</w:t>
            </w:r>
          </w:p>
        </w:tc>
        <w:tc>
          <w:tcPr>
            <w:tcW w:w="728"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
                <w:bCs/>
                <w:sz w:val="18"/>
                <w:szCs w:val="18"/>
                <w:lang w:eastAsia="it-IT"/>
              </w:rPr>
              <w:t>8092</w:t>
            </w:r>
          </w:p>
        </w:tc>
        <w:tc>
          <w:tcPr>
            <w:tcW w:w="640"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100,0</w:t>
            </w:r>
          </w:p>
        </w:tc>
        <w:tc>
          <w:tcPr>
            <w:tcW w:w="1134"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358</w:t>
            </w:r>
          </w:p>
        </w:tc>
        <w:tc>
          <w:tcPr>
            <w:tcW w:w="1182"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59.433.744</w:t>
            </w:r>
          </w:p>
        </w:tc>
        <w:tc>
          <w:tcPr>
            <w:tcW w:w="661"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100,0</w:t>
            </w:r>
          </w:p>
        </w:tc>
        <w:tc>
          <w:tcPr>
            <w:tcW w:w="1089"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9,8</w:t>
            </w:r>
          </w:p>
        </w:tc>
        <w:tc>
          <w:tcPr>
            <w:tcW w:w="1021"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302.073</w:t>
            </w:r>
          </w:p>
        </w:tc>
        <w:tc>
          <w:tcPr>
            <w:tcW w:w="725" w:type="dxa"/>
            <w:tcBorders>
              <w:top w:val="single" w:sz="4" w:space="0" w:color="auto"/>
              <w:bottom w:val="single" w:sz="4" w:space="0" w:color="auto"/>
            </w:tcBorders>
          </w:tcPr>
          <w:p w:rsidR="006013CA" w:rsidRPr="00F5029E" w:rsidRDefault="006013CA" w:rsidP="00F5029E">
            <w:pPr>
              <w:spacing w:after="0" w:line="240" w:lineRule="auto"/>
              <w:jc w:val="right"/>
              <w:rPr>
                <w:rFonts w:ascii="Calibri" w:hAnsi="Calibri" w:cs="Calibri"/>
                <w:b/>
                <w:bCs/>
                <w:sz w:val="18"/>
                <w:szCs w:val="18"/>
                <w:lang w:eastAsia="it-IT"/>
              </w:rPr>
            </w:pPr>
            <w:r w:rsidRPr="00F5029E">
              <w:rPr>
                <w:rFonts w:ascii="Calibri" w:hAnsi="Calibri" w:cs="Calibri"/>
                <w:bCs/>
                <w:sz w:val="18"/>
                <w:szCs w:val="18"/>
                <w:lang w:eastAsia="it-IT"/>
              </w:rPr>
              <w:t>100,0</w:t>
            </w:r>
          </w:p>
        </w:tc>
      </w:tr>
    </w:tbl>
    <w:p w:rsidR="006013CA" w:rsidRDefault="006013CA" w:rsidP="00A269F3">
      <w:pPr>
        <w:spacing w:after="0" w:line="240" w:lineRule="auto"/>
        <w:rPr>
          <w:b/>
          <w:bCs/>
          <w:sz w:val="24"/>
          <w:szCs w:val="24"/>
          <w:lang w:eastAsia="it-IT"/>
        </w:rPr>
      </w:pPr>
    </w:p>
    <w:p w:rsidR="006013CA" w:rsidRPr="002934DF" w:rsidRDefault="006013CA" w:rsidP="002934DF">
      <w:pPr>
        <w:rPr>
          <w:b/>
          <w:bCs/>
          <w:sz w:val="24"/>
          <w:szCs w:val="24"/>
          <w:lang w:eastAsia="it-IT"/>
        </w:rPr>
      </w:pPr>
      <w:r>
        <w:rPr>
          <w:b/>
          <w:bCs/>
          <w:sz w:val="24"/>
          <w:szCs w:val="24"/>
          <w:lang w:eastAsia="it-IT"/>
        </w:rPr>
        <w:fldChar w:fldCharType="begin"/>
      </w:r>
      <w:r>
        <w:rPr>
          <w:b/>
          <w:bCs/>
          <w:sz w:val="24"/>
          <w:szCs w:val="24"/>
          <w:lang w:eastAsia="it-IT"/>
        </w:rPr>
        <w:instrText xml:space="preserve"> LINK Excel.Sheet.12 "\\\\MS0157\\AreeInterne\\Strategia\\Tabelle per strategia.xlsx" "Tabella di sintesi!R1C1:R10C12" \a \f 5 \h  \* MERGEFORMAT </w:instrText>
      </w:r>
      <w:r>
        <w:rPr>
          <w:b/>
          <w:bCs/>
          <w:sz w:val="24"/>
          <w:szCs w:val="24"/>
          <w:lang w:eastAsia="it-IT"/>
        </w:rPr>
        <w:fldChar w:fldCharType="separate"/>
      </w:r>
    </w:p>
    <w:tbl>
      <w:tblPr>
        <w:tblW w:w="10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5"/>
        <w:gridCol w:w="1074"/>
        <w:gridCol w:w="740"/>
        <w:gridCol w:w="276"/>
        <w:gridCol w:w="1232"/>
        <w:gridCol w:w="276"/>
        <w:gridCol w:w="1474"/>
        <w:gridCol w:w="711"/>
        <w:gridCol w:w="1306"/>
        <w:gridCol w:w="276"/>
        <w:gridCol w:w="1232"/>
        <w:gridCol w:w="960"/>
      </w:tblGrid>
      <w:tr w:rsidR="006013CA" w:rsidRPr="002934DF" w:rsidTr="00F5029E">
        <w:trPr>
          <w:trHeight w:val="300"/>
        </w:trPr>
        <w:tc>
          <w:tcPr>
            <w:tcW w:w="2275" w:type="dxa"/>
            <w:vMerge w:val="restart"/>
          </w:tcPr>
          <w:p w:rsidR="006013CA" w:rsidRPr="00F5029E" w:rsidRDefault="006013CA" w:rsidP="00F5029E">
            <w:pPr>
              <w:spacing w:after="0" w:line="240" w:lineRule="auto"/>
              <w:rPr>
                <w:b/>
                <w:bCs/>
                <w:sz w:val="24"/>
                <w:szCs w:val="24"/>
                <w:lang w:eastAsia="it-IT"/>
              </w:rPr>
            </w:pPr>
            <w:r w:rsidRPr="00F5029E">
              <w:rPr>
                <w:b/>
                <w:bCs/>
                <w:sz w:val="24"/>
                <w:szCs w:val="24"/>
                <w:lang w:eastAsia="it-IT"/>
              </w:rPr>
              <w:t>Classificazione Comuni</w:t>
            </w:r>
          </w:p>
        </w:tc>
        <w:tc>
          <w:tcPr>
            <w:tcW w:w="959" w:type="dxa"/>
            <w:vMerge w:val="restart"/>
          </w:tcPr>
          <w:p w:rsidR="006013CA" w:rsidRPr="00F5029E" w:rsidRDefault="006013CA" w:rsidP="00F5029E">
            <w:pPr>
              <w:spacing w:after="0" w:line="240" w:lineRule="auto"/>
              <w:rPr>
                <w:b/>
                <w:bCs/>
                <w:sz w:val="24"/>
                <w:szCs w:val="24"/>
                <w:lang w:eastAsia="it-IT"/>
              </w:rPr>
            </w:pPr>
            <w:r w:rsidRPr="00F5029E">
              <w:rPr>
                <w:b/>
                <w:bCs/>
                <w:sz w:val="24"/>
                <w:szCs w:val="24"/>
                <w:lang w:eastAsia="it-IT"/>
              </w:rPr>
              <w:t>Numero comuni</w:t>
            </w:r>
          </w:p>
        </w:tc>
        <w:tc>
          <w:tcPr>
            <w:tcW w:w="740" w:type="dxa"/>
            <w:vMerge w:val="restart"/>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w:t>
            </w:r>
          </w:p>
        </w:tc>
        <w:tc>
          <w:tcPr>
            <w:tcW w:w="200" w:type="dxa"/>
            <w:vMerge w:val="restart"/>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vMerge w:val="restart"/>
          </w:tcPr>
          <w:p w:rsidR="006013CA" w:rsidRPr="00F5029E" w:rsidRDefault="006013CA" w:rsidP="00F5029E">
            <w:pPr>
              <w:spacing w:after="0" w:line="240" w:lineRule="auto"/>
              <w:rPr>
                <w:b/>
                <w:bCs/>
                <w:sz w:val="24"/>
                <w:szCs w:val="24"/>
                <w:lang w:eastAsia="it-IT"/>
              </w:rPr>
            </w:pPr>
            <w:r w:rsidRPr="00F5029E">
              <w:rPr>
                <w:b/>
                <w:bCs/>
                <w:sz w:val="24"/>
                <w:szCs w:val="24"/>
                <w:lang w:eastAsia="it-IT"/>
              </w:rPr>
              <w:t>Altitudine media (mt)</w:t>
            </w:r>
          </w:p>
        </w:tc>
        <w:tc>
          <w:tcPr>
            <w:tcW w:w="199" w:type="dxa"/>
            <w:vMerge w:val="restart"/>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vMerge w:val="restart"/>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Popolazione</w:t>
            </w:r>
          </w:p>
        </w:tc>
        <w:tc>
          <w:tcPr>
            <w:tcW w:w="660" w:type="dxa"/>
            <w:vMerge w:val="restart"/>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Variazione</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vMerge w:val="restart"/>
          </w:tcPr>
          <w:p w:rsidR="006013CA" w:rsidRPr="00F5029E" w:rsidRDefault="006013CA" w:rsidP="00F5029E">
            <w:pPr>
              <w:spacing w:after="0" w:line="240" w:lineRule="auto"/>
              <w:rPr>
                <w:b/>
                <w:bCs/>
                <w:sz w:val="24"/>
                <w:szCs w:val="24"/>
                <w:lang w:eastAsia="it-IT"/>
              </w:rPr>
            </w:pPr>
            <w:r w:rsidRPr="00F5029E">
              <w:rPr>
                <w:b/>
                <w:bCs/>
                <w:sz w:val="24"/>
                <w:szCs w:val="24"/>
                <w:lang w:eastAsia="it-IT"/>
              </w:rPr>
              <w:t>Superficie (Kmq)</w:t>
            </w:r>
          </w:p>
        </w:tc>
        <w:tc>
          <w:tcPr>
            <w:tcW w:w="960" w:type="dxa"/>
            <w:vMerge w:val="restart"/>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xml:space="preserve"> %</w:t>
            </w:r>
          </w:p>
        </w:tc>
      </w:tr>
      <w:tr w:rsidR="006013CA" w:rsidRPr="002934DF" w:rsidTr="00F5029E">
        <w:trPr>
          <w:trHeight w:val="300"/>
        </w:trPr>
        <w:tc>
          <w:tcPr>
            <w:tcW w:w="2275" w:type="dxa"/>
            <w:vMerge/>
          </w:tcPr>
          <w:p w:rsidR="006013CA" w:rsidRPr="00F5029E" w:rsidRDefault="006013CA" w:rsidP="00F5029E">
            <w:pPr>
              <w:spacing w:after="0" w:line="240" w:lineRule="auto"/>
              <w:rPr>
                <w:b/>
                <w:bCs/>
                <w:sz w:val="24"/>
                <w:szCs w:val="24"/>
                <w:lang w:eastAsia="it-IT"/>
              </w:rPr>
            </w:pPr>
          </w:p>
        </w:tc>
        <w:tc>
          <w:tcPr>
            <w:tcW w:w="959" w:type="dxa"/>
            <w:vMerge/>
          </w:tcPr>
          <w:p w:rsidR="006013CA" w:rsidRPr="00F5029E" w:rsidRDefault="006013CA" w:rsidP="00F5029E">
            <w:pPr>
              <w:spacing w:after="0" w:line="240" w:lineRule="auto"/>
              <w:rPr>
                <w:b/>
                <w:bCs/>
                <w:sz w:val="24"/>
                <w:szCs w:val="24"/>
                <w:lang w:eastAsia="it-IT"/>
              </w:rPr>
            </w:pPr>
          </w:p>
        </w:tc>
        <w:tc>
          <w:tcPr>
            <w:tcW w:w="740" w:type="dxa"/>
            <w:vMerge/>
          </w:tcPr>
          <w:p w:rsidR="006013CA" w:rsidRPr="00F5029E" w:rsidRDefault="006013CA" w:rsidP="00F5029E">
            <w:pPr>
              <w:spacing w:after="0" w:line="240" w:lineRule="auto"/>
              <w:rPr>
                <w:b/>
                <w:bCs/>
                <w:sz w:val="24"/>
                <w:szCs w:val="24"/>
                <w:lang w:eastAsia="it-IT"/>
              </w:rPr>
            </w:pPr>
          </w:p>
        </w:tc>
        <w:tc>
          <w:tcPr>
            <w:tcW w:w="200" w:type="dxa"/>
            <w:vMerge/>
          </w:tcPr>
          <w:p w:rsidR="006013CA" w:rsidRPr="00F5029E" w:rsidRDefault="006013CA" w:rsidP="00F5029E">
            <w:pPr>
              <w:spacing w:after="0" w:line="240" w:lineRule="auto"/>
              <w:rPr>
                <w:b/>
                <w:bCs/>
                <w:sz w:val="24"/>
                <w:szCs w:val="24"/>
                <w:lang w:eastAsia="it-IT"/>
              </w:rPr>
            </w:pPr>
          </w:p>
        </w:tc>
        <w:tc>
          <w:tcPr>
            <w:tcW w:w="1119" w:type="dxa"/>
            <w:vMerge/>
          </w:tcPr>
          <w:p w:rsidR="006013CA" w:rsidRPr="00F5029E" w:rsidRDefault="006013CA" w:rsidP="00F5029E">
            <w:pPr>
              <w:spacing w:after="0" w:line="240" w:lineRule="auto"/>
              <w:rPr>
                <w:b/>
                <w:bCs/>
                <w:sz w:val="24"/>
                <w:szCs w:val="24"/>
                <w:lang w:eastAsia="it-IT"/>
              </w:rPr>
            </w:pPr>
          </w:p>
        </w:tc>
        <w:tc>
          <w:tcPr>
            <w:tcW w:w="199" w:type="dxa"/>
            <w:vMerge/>
          </w:tcPr>
          <w:p w:rsidR="006013CA" w:rsidRPr="00F5029E" w:rsidRDefault="006013CA" w:rsidP="00F5029E">
            <w:pPr>
              <w:spacing w:after="0" w:line="240" w:lineRule="auto"/>
              <w:rPr>
                <w:b/>
                <w:bCs/>
                <w:sz w:val="24"/>
                <w:szCs w:val="24"/>
                <w:lang w:eastAsia="it-IT"/>
              </w:rPr>
            </w:pPr>
          </w:p>
        </w:tc>
        <w:tc>
          <w:tcPr>
            <w:tcW w:w="1420" w:type="dxa"/>
            <w:vMerge/>
          </w:tcPr>
          <w:p w:rsidR="006013CA" w:rsidRPr="00F5029E" w:rsidRDefault="006013CA" w:rsidP="00F5029E">
            <w:pPr>
              <w:spacing w:after="0" w:line="240" w:lineRule="auto"/>
              <w:rPr>
                <w:b/>
                <w:bCs/>
                <w:sz w:val="24"/>
                <w:szCs w:val="24"/>
                <w:lang w:eastAsia="it-IT"/>
              </w:rPr>
            </w:pPr>
          </w:p>
        </w:tc>
        <w:tc>
          <w:tcPr>
            <w:tcW w:w="660" w:type="dxa"/>
            <w:vMerge/>
          </w:tcPr>
          <w:p w:rsidR="006013CA" w:rsidRPr="00F5029E" w:rsidRDefault="006013CA" w:rsidP="00F5029E">
            <w:pPr>
              <w:spacing w:after="0" w:line="240" w:lineRule="auto"/>
              <w:rPr>
                <w:b/>
                <w:bCs/>
                <w:sz w:val="24"/>
                <w:szCs w:val="24"/>
                <w:lang w:eastAsia="it-IT"/>
              </w:rPr>
            </w:pP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vMerge/>
          </w:tcPr>
          <w:p w:rsidR="006013CA" w:rsidRPr="00F5029E" w:rsidRDefault="006013CA" w:rsidP="00F5029E">
            <w:pPr>
              <w:spacing w:after="0" w:line="240" w:lineRule="auto"/>
              <w:rPr>
                <w:b/>
                <w:bCs/>
                <w:sz w:val="24"/>
                <w:szCs w:val="24"/>
                <w:lang w:eastAsia="it-IT"/>
              </w:rPr>
            </w:pPr>
          </w:p>
        </w:tc>
        <w:tc>
          <w:tcPr>
            <w:tcW w:w="960" w:type="dxa"/>
            <w:vMerge/>
          </w:tcPr>
          <w:p w:rsidR="006013CA" w:rsidRPr="00F5029E" w:rsidRDefault="006013CA" w:rsidP="00F5029E">
            <w:pPr>
              <w:spacing w:after="0" w:line="240" w:lineRule="auto"/>
              <w:rPr>
                <w:b/>
                <w:bCs/>
                <w:sz w:val="24"/>
                <w:szCs w:val="24"/>
                <w:lang w:eastAsia="it-IT"/>
              </w:rPr>
            </w:pPr>
          </w:p>
        </w:tc>
      </w:tr>
      <w:tr w:rsidR="006013CA" w:rsidRPr="002934DF" w:rsidTr="00F5029E">
        <w:trPr>
          <w:trHeight w:val="300"/>
        </w:trPr>
        <w:tc>
          <w:tcPr>
            <w:tcW w:w="2275" w:type="dxa"/>
            <w:vMerge/>
          </w:tcPr>
          <w:p w:rsidR="006013CA" w:rsidRPr="00F5029E" w:rsidRDefault="006013CA" w:rsidP="00F5029E">
            <w:pPr>
              <w:spacing w:after="0" w:line="240" w:lineRule="auto"/>
              <w:rPr>
                <w:b/>
                <w:bCs/>
                <w:sz w:val="24"/>
                <w:szCs w:val="24"/>
                <w:lang w:eastAsia="it-IT"/>
              </w:rPr>
            </w:pPr>
          </w:p>
        </w:tc>
        <w:tc>
          <w:tcPr>
            <w:tcW w:w="959" w:type="dxa"/>
            <w:vMerge/>
          </w:tcPr>
          <w:p w:rsidR="006013CA" w:rsidRPr="00F5029E" w:rsidRDefault="006013CA" w:rsidP="00F5029E">
            <w:pPr>
              <w:spacing w:after="0" w:line="240" w:lineRule="auto"/>
              <w:rPr>
                <w:b/>
                <w:bCs/>
                <w:sz w:val="24"/>
                <w:szCs w:val="24"/>
                <w:lang w:eastAsia="it-IT"/>
              </w:rPr>
            </w:pPr>
          </w:p>
        </w:tc>
        <w:tc>
          <w:tcPr>
            <w:tcW w:w="740" w:type="dxa"/>
            <w:vMerge/>
          </w:tcPr>
          <w:p w:rsidR="006013CA" w:rsidRPr="00F5029E" w:rsidRDefault="006013CA" w:rsidP="00F5029E">
            <w:pPr>
              <w:spacing w:after="0" w:line="240" w:lineRule="auto"/>
              <w:rPr>
                <w:b/>
                <w:bCs/>
                <w:sz w:val="24"/>
                <w:szCs w:val="24"/>
                <w:lang w:eastAsia="it-IT"/>
              </w:rPr>
            </w:pPr>
          </w:p>
        </w:tc>
        <w:tc>
          <w:tcPr>
            <w:tcW w:w="200" w:type="dxa"/>
            <w:vMerge/>
          </w:tcPr>
          <w:p w:rsidR="006013CA" w:rsidRPr="00F5029E" w:rsidRDefault="006013CA" w:rsidP="00F5029E">
            <w:pPr>
              <w:spacing w:after="0" w:line="240" w:lineRule="auto"/>
              <w:rPr>
                <w:b/>
                <w:bCs/>
                <w:sz w:val="24"/>
                <w:szCs w:val="24"/>
                <w:lang w:eastAsia="it-IT"/>
              </w:rPr>
            </w:pPr>
          </w:p>
        </w:tc>
        <w:tc>
          <w:tcPr>
            <w:tcW w:w="1119" w:type="dxa"/>
            <w:vMerge/>
          </w:tcPr>
          <w:p w:rsidR="006013CA" w:rsidRPr="00F5029E" w:rsidRDefault="006013CA" w:rsidP="00F5029E">
            <w:pPr>
              <w:spacing w:after="0" w:line="240" w:lineRule="auto"/>
              <w:rPr>
                <w:b/>
                <w:bCs/>
                <w:sz w:val="24"/>
                <w:szCs w:val="24"/>
                <w:lang w:eastAsia="it-IT"/>
              </w:rPr>
            </w:pPr>
          </w:p>
        </w:tc>
        <w:tc>
          <w:tcPr>
            <w:tcW w:w="199" w:type="dxa"/>
            <w:vMerge/>
          </w:tcPr>
          <w:p w:rsidR="006013CA" w:rsidRPr="00F5029E" w:rsidRDefault="006013CA" w:rsidP="00F5029E">
            <w:pPr>
              <w:spacing w:after="0" w:line="240" w:lineRule="auto"/>
              <w:rPr>
                <w:b/>
                <w:bCs/>
                <w:sz w:val="24"/>
                <w:szCs w:val="24"/>
                <w:lang w:eastAsia="it-IT"/>
              </w:rPr>
            </w:pPr>
          </w:p>
        </w:tc>
        <w:tc>
          <w:tcPr>
            <w:tcW w:w="1420" w:type="dxa"/>
            <w:vMerge/>
          </w:tcPr>
          <w:p w:rsidR="006013CA" w:rsidRPr="00F5029E" w:rsidRDefault="006013CA" w:rsidP="00F5029E">
            <w:pPr>
              <w:spacing w:after="0" w:line="240" w:lineRule="auto"/>
              <w:rPr>
                <w:b/>
                <w:bCs/>
                <w:sz w:val="24"/>
                <w:szCs w:val="24"/>
                <w:lang w:eastAsia="it-IT"/>
              </w:rPr>
            </w:pPr>
          </w:p>
        </w:tc>
        <w:tc>
          <w:tcPr>
            <w:tcW w:w="660" w:type="dxa"/>
            <w:vMerge/>
          </w:tcPr>
          <w:p w:rsidR="006013CA" w:rsidRPr="00F5029E" w:rsidRDefault="006013CA" w:rsidP="00F5029E">
            <w:pPr>
              <w:spacing w:after="0" w:line="240" w:lineRule="auto"/>
              <w:rPr>
                <w:b/>
                <w:bCs/>
                <w:sz w:val="24"/>
                <w:szCs w:val="24"/>
                <w:lang w:eastAsia="it-IT"/>
              </w:rPr>
            </w:pP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1971 - 2011</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vMerge/>
          </w:tcPr>
          <w:p w:rsidR="006013CA" w:rsidRPr="00F5029E" w:rsidRDefault="006013CA" w:rsidP="00F5029E">
            <w:pPr>
              <w:spacing w:after="0" w:line="240" w:lineRule="auto"/>
              <w:rPr>
                <w:b/>
                <w:bCs/>
                <w:sz w:val="24"/>
                <w:szCs w:val="24"/>
                <w:lang w:eastAsia="it-IT"/>
              </w:rPr>
            </w:pPr>
          </w:p>
        </w:tc>
        <w:tc>
          <w:tcPr>
            <w:tcW w:w="960" w:type="dxa"/>
            <w:vMerge/>
          </w:tcPr>
          <w:p w:rsidR="006013CA" w:rsidRPr="00F5029E" w:rsidRDefault="006013CA" w:rsidP="00F5029E">
            <w:pPr>
              <w:spacing w:after="0" w:line="240" w:lineRule="auto"/>
              <w:rPr>
                <w:b/>
                <w:bCs/>
                <w:sz w:val="24"/>
                <w:szCs w:val="24"/>
                <w:lang w:eastAsia="it-IT"/>
              </w:rPr>
            </w:pP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Polo</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219</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2,7</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145</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21.223.562</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35,7</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-6,8</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29.519</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9,8</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Polo intercomunale</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104</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1,3</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166</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2.466.455</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4,1</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22,7</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6.251</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2,1</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Cintura</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3508</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43,4</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215</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22.202.203</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37,4</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35,8</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81.815</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27,1</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Intermedio</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2377</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29,4</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395</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8.953.282</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15,1</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11,6</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89.448</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29,6</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Periferico</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1526</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18,9</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607</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3.671.372</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6,2</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-8,1</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73.256</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24,3</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Ultra-periferico</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358</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4,4</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627</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916.870</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1,5</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-5,3</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21.784</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7,2</w:t>
            </w:r>
          </w:p>
        </w:tc>
      </w:tr>
      <w:tr w:rsidR="006013CA" w:rsidRPr="002934DF" w:rsidTr="00F5029E">
        <w:trPr>
          <w:trHeight w:val="300"/>
        </w:trPr>
        <w:tc>
          <w:tcPr>
            <w:tcW w:w="2275"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TOTALE</w:t>
            </w:r>
          </w:p>
        </w:tc>
        <w:tc>
          <w:tcPr>
            <w:tcW w:w="95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8092</w:t>
            </w:r>
          </w:p>
        </w:tc>
        <w:tc>
          <w:tcPr>
            <w:tcW w:w="74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100,0</w:t>
            </w:r>
          </w:p>
        </w:tc>
        <w:tc>
          <w:tcPr>
            <w:tcW w:w="20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11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358</w:t>
            </w:r>
          </w:p>
        </w:tc>
        <w:tc>
          <w:tcPr>
            <w:tcW w:w="19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4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59.433.744</w:t>
            </w:r>
          </w:p>
        </w:tc>
        <w:tc>
          <w:tcPr>
            <w:tcW w:w="6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100,0</w:t>
            </w:r>
          </w:p>
        </w:tc>
        <w:tc>
          <w:tcPr>
            <w:tcW w:w="108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9,8</w:t>
            </w:r>
          </w:p>
        </w:tc>
        <w:tc>
          <w:tcPr>
            <w:tcW w:w="22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 </w:t>
            </w:r>
          </w:p>
        </w:tc>
        <w:tc>
          <w:tcPr>
            <w:tcW w:w="1079"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302.073</w:t>
            </w:r>
          </w:p>
        </w:tc>
        <w:tc>
          <w:tcPr>
            <w:tcW w:w="960" w:type="dxa"/>
            <w:noWrap/>
          </w:tcPr>
          <w:p w:rsidR="006013CA" w:rsidRPr="00F5029E" w:rsidRDefault="006013CA" w:rsidP="00F5029E">
            <w:pPr>
              <w:spacing w:after="0" w:line="240" w:lineRule="auto"/>
              <w:rPr>
                <w:b/>
                <w:bCs/>
                <w:sz w:val="24"/>
                <w:szCs w:val="24"/>
                <w:lang w:eastAsia="it-IT"/>
              </w:rPr>
            </w:pPr>
            <w:r w:rsidRPr="00F5029E">
              <w:rPr>
                <w:b/>
                <w:bCs/>
                <w:sz w:val="24"/>
                <w:szCs w:val="24"/>
                <w:lang w:eastAsia="it-IT"/>
              </w:rPr>
              <w:t>100,0</w:t>
            </w:r>
          </w:p>
        </w:tc>
      </w:tr>
    </w:tbl>
    <w:p w:rsidR="006013CA" w:rsidRPr="00EA7C8D" w:rsidRDefault="006013CA" w:rsidP="00A269F3">
      <w:pPr>
        <w:pStyle w:val="Heading3"/>
        <w:keepNext w:val="0"/>
        <w:keepLines w:val="0"/>
        <w:spacing w:before="0" w:after="0" w:line="240" w:lineRule="auto"/>
        <w:rPr>
          <w:b/>
          <w:sz w:val="24"/>
          <w:szCs w:val="24"/>
        </w:rPr>
      </w:pPr>
      <w:r>
        <w:rPr>
          <w:b/>
          <w:bCs w:val="0"/>
          <w:sz w:val="24"/>
          <w:szCs w:val="24"/>
          <w:lang w:eastAsia="it-IT"/>
        </w:rPr>
        <w:fldChar w:fldCharType="end"/>
      </w:r>
      <w:bookmarkStart w:id="9" w:name="_Toc356901586"/>
      <w:r w:rsidRPr="00EA7C8D">
        <w:rPr>
          <w:b/>
          <w:sz w:val="24"/>
          <w:szCs w:val="24"/>
        </w:rPr>
        <w:t>2.2</w:t>
      </w:r>
      <w:r w:rsidRPr="00EA7C8D">
        <w:rPr>
          <w:b/>
          <w:sz w:val="24"/>
          <w:szCs w:val="24"/>
        </w:rPr>
        <w:tab/>
        <w:t>Andamenti socio-demografici, uso del suolo e “diversità” delle Aree Interne</w:t>
      </w:r>
      <w:bookmarkEnd w:id="9"/>
    </w:p>
    <w:p w:rsidR="006013CA" w:rsidRPr="00605D41" w:rsidRDefault="006013CA">
      <w:pPr>
        <w:spacing w:after="120" w:line="240" w:lineRule="auto"/>
        <w:rPr>
          <w:szCs w:val="28"/>
          <w:lang w:eastAsia="it-IT"/>
        </w:rPr>
      </w:pPr>
      <w:r w:rsidRPr="00605D41">
        <w:rPr>
          <w:szCs w:val="28"/>
          <w:lang w:eastAsia="it-IT"/>
        </w:rPr>
        <w:t>Da un punto di vista demografico</w:t>
      </w:r>
      <w:r w:rsidRPr="00605D41">
        <w:rPr>
          <w:szCs w:val="28"/>
          <w:vertAlign w:val="superscript"/>
          <w:lang w:eastAsia="it-IT"/>
        </w:rPr>
        <w:footnoteReference w:id="6"/>
      </w:r>
      <w:r w:rsidRPr="00605D41">
        <w:rPr>
          <w:szCs w:val="28"/>
          <w:lang w:eastAsia="it-IT"/>
        </w:rPr>
        <w:t>, l’Italia ha sperimentato negli ultimi decenni rapidi e profondi cambiamenti che hanno prodotto una trasformazione non solo quantitativa ma anche di tipo ‘qualitativo’ nella popolazione, modificandone la struttura per età</w:t>
      </w:r>
      <w:r w:rsidRPr="00605D41">
        <w:rPr>
          <w:szCs w:val="28"/>
          <w:vertAlign w:val="superscript"/>
          <w:lang w:eastAsia="it-IT"/>
        </w:rPr>
        <w:footnoteReference w:id="7"/>
      </w:r>
      <w:r w:rsidRPr="00605D41">
        <w:rPr>
          <w:szCs w:val="28"/>
          <w:lang w:eastAsia="it-IT"/>
        </w:rPr>
        <w:t xml:space="preserve">, e di conseguenza, il rapporto tra generazioni, con un immaginabile impatto sul mercato del lavoro. Nelle aree interne ed in particolare nelle aree ‘periferiche’ del paese questi fenomeni sono ancora più intensi e le conseguenze più evidenti. </w:t>
      </w:r>
    </w:p>
    <w:p w:rsidR="006013CA" w:rsidRDefault="006013CA" w:rsidP="00A269F3">
      <w:pPr>
        <w:spacing w:after="0" w:line="240" w:lineRule="auto"/>
        <w:rPr>
          <w:szCs w:val="28"/>
          <w:lang w:eastAsia="it-IT"/>
        </w:rPr>
      </w:pPr>
      <w:r w:rsidRPr="00605D41">
        <w:rPr>
          <w:szCs w:val="28"/>
          <w:lang w:eastAsia="it-IT"/>
        </w:rPr>
        <w:t xml:space="preserve">Negli ultimi quarant’ anni la popolazione Italiana è aumentata di circa il 10 per cento; nei Centri tale variazione è stata leggermente superiore al valore nazionale, mentre è stata decisamente più contenuta nelle Aree Interne. Questi andamenti sono la sintesi di tendenze molto diverse nelle diverse tipologie di territorio: mentre i poli intercomunali, i comuni di cintura ma anche i comuni intermedi hanno fatto registrare un aumento della popolazione anche doppio o triplo rispetto al valore medio nazionale, la </w:t>
      </w:r>
      <w:r w:rsidRPr="00605D41">
        <w:rPr>
          <w:b/>
          <w:szCs w:val="28"/>
          <w:lang w:eastAsia="it-IT"/>
        </w:rPr>
        <w:t>popolazione è diminuita nei Poli, nei comuni periferici ed ultra-periferici</w:t>
      </w:r>
      <w:r w:rsidRPr="00605D41">
        <w:rPr>
          <w:szCs w:val="28"/>
          <w:lang w:eastAsia="it-IT"/>
        </w:rPr>
        <w:t xml:space="preserve">. In particolare, le aree periferiche ed ultra-periferiche hanno fatto registrare tassi negativi di crescita della popolazione già dai primi anni ’70 (soprattutto in alcune regioni come la Liguria, il Friuli, il Piemonte ed il Molise). </w:t>
      </w:r>
    </w:p>
    <w:p w:rsidR="006013CA" w:rsidRDefault="006013CA" w:rsidP="00A269F3">
      <w:pPr>
        <w:spacing w:after="0" w:line="240" w:lineRule="auto"/>
        <w:rPr>
          <w:szCs w:val="28"/>
          <w:lang w:eastAsia="it-IT"/>
        </w:rPr>
      </w:pPr>
    </w:p>
    <w:p w:rsidR="006013CA" w:rsidRPr="00EA7C8D" w:rsidRDefault="006013CA" w:rsidP="00EA7C8D">
      <w:pPr>
        <w:tabs>
          <w:tab w:val="left" w:pos="993"/>
        </w:tabs>
        <w:spacing w:after="120" w:line="240" w:lineRule="auto"/>
        <w:rPr>
          <w:b/>
          <w:bCs/>
          <w:color w:val="4F81BD"/>
          <w:sz w:val="20"/>
          <w:szCs w:val="20"/>
          <w:lang w:eastAsia="it-IT"/>
        </w:rPr>
      </w:pPr>
      <w:r w:rsidRPr="00EA7C8D">
        <w:rPr>
          <w:b/>
          <w:bCs/>
          <w:color w:val="4F81BD"/>
          <w:sz w:val="20"/>
          <w:szCs w:val="20"/>
          <w:lang w:eastAsia="it-IT"/>
        </w:rPr>
        <w:t xml:space="preserve">Tabella </w:t>
      </w:r>
      <w:r>
        <w:rPr>
          <w:b/>
          <w:bCs/>
          <w:color w:val="4F81BD"/>
          <w:sz w:val="20"/>
          <w:szCs w:val="20"/>
          <w:lang w:eastAsia="it-IT"/>
        </w:rPr>
        <w:t>2.</w:t>
      </w:r>
      <w:r w:rsidRPr="00EA7C8D">
        <w:rPr>
          <w:b/>
          <w:bCs/>
          <w:color w:val="4F81BD"/>
          <w:sz w:val="20"/>
          <w:szCs w:val="20"/>
          <w:lang w:eastAsia="it-IT"/>
        </w:rPr>
        <w:t>2 – Andamenti demografici nelle Aree Interne delle Regioni</w:t>
      </w:r>
    </w:p>
    <w:tbl>
      <w:tblPr>
        <w:tblW w:w="8946" w:type="dxa"/>
        <w:tblInd w:w="55" w:type="dxa"/>
        <w:tblCellMar>
          <w:left w:w="70" w:type="dxa"/>
          <w:right w:w="70" w:type="dxa"/>
        </w:tblCellMar>
        <w:tblLook w:val="00A0"/>
      </w:tblPr>
      <w:tblGrid>
        <w:gridCol w:w="1644"/>
        <w:gridCol w:w="639"/>
        <w:gridCol w:w="1418"/>
        <w:gridCol w:w="997"/>
        <w:gridCol w:w="987"/>
        <w:gridCol w:w="993"/>
        <w:gridCol w:w="1275"/>
        <w:gridCol w:w="993"/>
      </w:tblGrid>
      <w:tr w:rsidR="006013CA" w:rsidRPr="00AC7178" w:rsidTr="00A269F3">
        <w:trPr>
          <w:trHeight w:val="379"/>
        </w:trPr>
        <w:tc>
          <w:tcPr>
            <w:tcW w:w="8946" w:type="dxa"/>
            <w:gridSpan w:val="8"/>
            <w:tcBorders>
              <w:top w:val="single" w:sz="4" w:space="0" w:color="auto"/>
              <w:left w:val="nil"/>
              <w:bottom w:val="dashSmallGap" w:sz="4" w:space="0" w:color="auto"/>
              <w:right w:val="nil"/>
            </w:tcBorders>
            <w:shd w:val="clear" w:color="auto" w:fill="FFFFFF"/>
            <w:vAlign w:val="center"/>
          </w:tcPr>
          <w:p w:rsidR="006013CA" w:rsidRPr="00AC7178" w:rsidRDefault="006013CA">
            <w:pPr>
              <w:spacing w:after="0" w:line="240" w:lineRule="auto"/>
              <w:jc w:val="center"/>
              <w:rPr>
                <w:rFonts w:ascii="Calibri" w:hAnsi="Calibri" w:cs="Calibri"/>
                <w:color w:val="000000"/>
                <w:sz w:val="18"/>
                <w:szCs w:val="18"/>
                <w:lang w:eastAsia="it-IT"/>
              </w:rPr>
            </w:pPr>
            <w:r w:rsidRPr="00FF4205">
              <w:rPr>
                <w:rFonts w:ascii="Calibri" w:hAnsi="Calibri" w:cs="Calibri"/>
                <w:b/>
                <w:bCs/>
                <w:color w:val="000000"/>
                <w:sz w:val="18"/>
                <w:szCs w:val="18"/>
                <w:lang w:eastAsia="it-IT"/>
              </w:rPr>
              <w:t>Variazione di popolazione - differenza % 1971 - 2011</w:t>
            </w:r>
          </w:p>
        </w:tc>
      </w:tr>
      <w:tr w:rsidR="006013CA" w:rsidRPr="00AC7178" w:rsidTr="00A269F3">
        <w:trPr>
          <w:trHeight w:val="267"/>
        </w:trPr>
        <w:tc>
          <w:tcPr>
            <w:tcW w:w="1644" w:type="dxa"/>
            <w:tcBorders>
              <w:top w:val="dashSmallGap" w:sz="4" w:space="0" w:color="auto"/>
              <w:left w:val="nil"/>
              <w:bottom w:val="single" w:sz="4" w:space="0" w:color="000000"/>
              <w:right w:val="nil"/>
            </w:tcBorders>
            <w:shd w:val="clear" w:color="auto" w:fill="FFFFFF"/>
            <w:vAlign w:val="center"/>
          </w:tcPr>
          <w:p w:rsidR="006013CA" w:rsidRPr="00EA7C8D" w:rsidRDefault="006013CA">
            <w:pPr>
              <w:spacing w:after="0" w:line="240" w:lineRule="auto"/>
              <w:jc w:val="left"/>
              <w:rPr>
                <w:rFonts w:ascii="Calibri" w:hAnsi="Calibri" w:cs="Calibri"/>
                <w:color w:val="000000"/>
                <w:sz w:val="18"/>
                <w:szCs w:val="18"/>
                <w:lang w:eastAsia="it-IT"/>
              </w:rPr>
            </w:pPr>
          </w:p>
        </w:tc>
        <w:tc>
          <w:tcPr>
            <w:tcW w:w="639" w:type="dxa"/>
            <w:tcBorders>
              <w:top w:val="dashSmallGap" w:sz="4" w:space="0" w:color="auto"/>
              <w:left w:val="nil"/>
              <w:bottom w:val="single" w:sz="4" w:space="0" w:color="auto"/>
              <w:right w:val="nil"/>
            </w:tcBorders>
            <w:shd w:val="clear" w:color="auto" w:fill="FFFFFF"/>
            <w:noWrap/>
            <w:vAlign w:val="center"/>
          </w:tcPr>
          <w:p w:rsidR="006013CA" w:rsidRPr="00EA7C8D" w:rsidRDefault="006013CA" w:rsidP="00EA7C8D">
            <w:pPr>
              <w:spacing w:after="0" w:line="240" w:lineRule="auto"/>
              <w:jc w:val="right"/>
              <w:rPr>
                <w:rFonts w:ascii="Calibri" w:hAnsi="Calibri" w:cs="Calibri"/>
                <w:b/>
                <w:color w:val="000000"/>
                <w:sz w:val="18"/>
                <w:szCs w:val="18"/>
                <w:lang w:eastAsia="it-IT"/>
              </w:rPr>
            </w:pPr>
            <w:r w:rsidRPr="00EA7C8D">
              <w:rPr>
                <w:rFonts w:ascii="Calibri" w:hAnsi="Calibri" w:cs="Calibri"/>
                <w:b/>
                <w:color w:val="000000"/>
                <w:sz w:val="18"/>
                <w:szCs w:val="18"/>
                <w:lang w:eastAsia="it-IT"/>
              </w:rPr>
              <w:t>Polo</w:t>
            </w:r>
          </w:p>
        </w:tc>
        <w:tc>
          <w:tcPr>
            <w:tcW w:w="1418" w:type="dxa"/>
            <w:tcBorders>
              <w:top w:val="dashSmallGap" w:sz="4" w:space="0" w:color="auto"/>
              <w:left w:val="nil"/>
              <w:bottom w:val="single" w:sz="4" w:space="0" w:color="auto"/>
              <w:right w:val="nil"/>
            </w:tcBorders>
            <w:shd w:val="clear" w:color="auto" w:fill="FFFFFF"/>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 xml:space="preserve">Polo </w:t>
            </w:r>
          </w:p>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Intercomunale</w:t>
            </w:r>
          </w:p>
        </w:tc>
        <w:tc>
          <w:tcPr>
            <w:tcW w:w="997" w:type="dxa"/>
            <w:tcBorders>
              <w:top w:val="dashSmallGap" w:sz="4" w:space="0" w:color="auto"/>
              <w:left w:val="nil"/>
              <w:bottom w:val="single" w:sz="4" w:space="0" w:color="auto"/>
              <w:right w:val="nil"/>
            </w:tcBorders>
            <w:shd w:val="clear" w:color="auto" w:fill="FFFFFF"/>
            <w:noWrap/>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Cintura</w:t>
            </w:r>
          </w:p>
        </w:tc>
        <w:tc>
          <w:tcPr>
            <w:tcW w:w="987" w:type="dxa"/>
            <w:tcBorders>
              <w:top w:val="dashSmallGap" w:sz="4" w:space="0" w:color="auto"/>
              <w:left w:val="nil"/>
              <w:bottom w:val="single" w:sz="4" w:space="0" w:color="auto"/>
              <w:right w:val="nil"/>
            </w:tcBorders>
            <w:shd w:val="clear" w:color="auto" w:fill="FFFFFF"/>
            <w:noWrap/>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Intermedio</w:t>
            </w:r>
          </w:p>
        </w:tc>
        <w:tc>
          <w:tcPr>
            <w:tcW w:w="993" w:type="dxa"/>
            <w:tcBorders>
              <w:top w:val="dashSmallGap" w:sz="4" w:space="0" w:color="auto"/>
              <w:left w:val="nil"/>
              <w:bottom w:val="single" w:sz="4" w:space="0" w:color="auto"/>
              <w:right w:val="nil"/>
            </w:tcBorders>
            <w:shd w:val="clear" w:color="auto" w:fill="FFFFFF"/>
            <w:noWrap/>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Periferico</w:t>
            </w:r>
          </w:p>
        </w:tc>
        <w:tc>
          <w:tcPr>
            <w:tcW w:w="1275" w:type="dxa"/>
            <w:tcBorders>
              <w:top w:val="dashSmallGap" w:sz="4" w:space="0" w:color="auto"/>
              <w:left w:val="nil"/>
              <w:bottom w:val="single" w:sz="4" w:space="0" w:color="auto"/>
              <w:right w:val="nil"/>
            </w:tcBorders>
            <w:shd w:val="clear" w:color="auto" w:fill="FFFFFF"/>
            <w:noWrap/>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Ultraperiferico</w:t>
            </w:r>
          </w:p>
        </w:tc>
        <w:tc>
          <w:tcPr>
            <w:tcW w:w="993" w:type="dxa"/>
            <w:tcBorders>
              <w:top w:val="dashSmallGap" w:sz="4" w:space="0" w:color="auto"/>
              <w:left w:val="nil"/>
              <w:bottom w:val="single" w:sz="4" w:space="0" w:color="auto"/>
              <w:right w:val="nil"/>
            </w:tcBorders>
            <w:shd w:val="clear" w:color="auto" w:fill="FFFFFF"/>
            <w:noWrap/>
            <w:vAlign w:val="center"/>
          </w:tcPr>
          <w:p w:rsidR="006013CA" w:rsidRPr="00EA7C8D" w:rsidRDefault="006013CA">
            <w:pPr>
              <w:spacing w:after="0" w:line="240" w:lineRule="auto"/>
              <w:jc w:val="center"/>
              <w:rPr>
                <w:rFonts w:ascii="Calibri" w:hAnsi="Calibri" w:cs="Calibri"/>
                <w:b/>
                <w:color w:val="000000"/>
                <w:sz w:val="18"/>
                <w:szCs w:val="18"/>
                <w:lang w:eastAsia="it-IT"/>
              </w:rPr>
            </w:pPr>
            <w:r w:rsidRPr="00EA7C8D">
              <w:rPr>
                <w:rFonts w:ascii="Calibri" w:hAnsi="Calibri" w:cs="Calibri"/>
                <w:b/>
                <w:color w:val="000000"/>
                <w:sz w:val="18"/>
                <w:szCs w:val="18"/>
                <w:lang w:eastAsia="it-IT"/>
              </w:rPr>
              <w:t>Totale</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Piemonte</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19,3</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18,5</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-27,6</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-1,5</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Valle d'Aosta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-7,6</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46,3</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18,1</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16,2</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Lombardia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-17,1</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10,3</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39,4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8,2</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4,5</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-1,4</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13,6</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Trentino Alto Adige</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9,7</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42,4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24,3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15,9</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13,9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22,3</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Veneto</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-7,7</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31,2</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38,6</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11,3</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-33,3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17,8</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Friuli Venezia Giulia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-13,7</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19,4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-35,5</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0,4</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Liguria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-24,9</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-5,8</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4,3</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-41,4</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-34,3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-15,3</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Emilia Romagna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-0,2</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24,5</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35,5</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14,9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-8,5</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-52</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12,4</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Toscana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-4,3</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15,6</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-15,6</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6,6</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5,7</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Umbria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13,3</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9,5</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32,1</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5,2</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14</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Marche</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5,9</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15,2</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37</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-7,5</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14,8</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Lazio</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36,2</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67,7</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59,1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11,2</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-27,4</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17,3</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Abruzzo</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6,9</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42,5</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42,5</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-23,9</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-42,8</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12,1</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Molise</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44,8</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17,1</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-34,7</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-46,9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-1,9</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Campania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-10,6</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38,3</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45</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3,7</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-16,6</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14</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Puglia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3,1</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15,3</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26,7</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-9,5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13,1</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Basilicata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25,2</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57,6</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-10,1</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-22,1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-4,2</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Calabria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2,5</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8,6</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17,2</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-18,2</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-10,6</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-1,5</w:t>
            </w:r>
          </w:p>
        </w:tc>
      </w:tr>
      <w:tr w:rsidR="006013CA" w:rsidRPr="00AC7178" w:rsidTr="00EA7C8D">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Sicilia</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-2,7</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5,6</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63</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7,4</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-8,1</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-21,1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6,9</w:t>
            </w:r>
          </w:p>
        </w:tc>
      </w:tr>
      <w:tr w:rsidR="006013CA" w:rsidRPr="00AC7178" w:rsidTr="00EA7C8D">
        <w:trPr>
          <w:trHeight w:val="227"/>
        </w:trPr>
        <w:tc>
          <w:tcPr>
            <w:tcW w:w="1644" w:type="dxa"/>
            <w:tcBorders>
              <w:top w:val="nil"/>
              <w:left w:val="nil"/>
              <w:bottom w:val="single" w:sz="4" w:space="0" w:color="auto"/>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Sardegna</w:t>
            </w:r>
          </w:p>
        </w:tc>
        <w:tc>
          <w:tcPr>
            <w:tcW w:w="639" w:type="dxa"/>
            <w:tcBorders>
              <w:top w:val="nil"/>
              <w:left w:val="nil"/>
              <w:bottom w:val="single" w:sz="4" w:space="0" w:color="auto"/>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-10,9</w:t>
            </w:r>
          </w:p>
        </w:tc>
        <w:tc>
          <w:tcPr>
            <w:tcW w:w="1418"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w:t>
            </w:r>
          </w:p>
        </w:tc>
        <w:tc>
          <w:tcPr>
            <w:tcW w:w="997"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81,5</w:t>
            </w:r>
          </w:p>
        </w:tc>
        <w:tc>
          <w:tcPr>
            <w:tcW w:w="987"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11,3</w:t>
            </w:r>
          </w:p>
        </w:tc>
        <w:tc>
          <w:tcPr>
            <w:tcW w:w="993"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-4,5</w:t>
            </w:r>
          </w:p>
        </w:tc>
        <w:tc>
          <w:tcPr>
            <w:tcW w:w="1275"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13,9</w:t>
            </w:r>
          </w:p>
        </w:tc>
        <w:tc>
          <w:tcPr>
            <w:tcW w:w="993" w:type="dxa"/>
            <w:tcBorders>
              <w:top w:val="nil"/>
              <w:left w:val="nil"/>
              <w:bottom w:val="single" w:sz="4" w:space="0" w:color="auto"/>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11,3</w:t>
            </w:r>
          </w:p>
        </w:tc>
      </w:tr>
      <w:tr w:rsidR="006013CA" w:rsidRPr="00AC7178" w:rsidTr="00A269F3">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Nord Ovest</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-18,7</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9,1</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31,4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2,9</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-4,6</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-4,8</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5,5</w:t>
            </w:r>
          </w:p>
        </w:tc>
      </w:tr>
      <w:tr w:rsidR="006013CA" w:rsidRPr="00AC7178" w:rsidTr="00A269F3">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Nord Est</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26,1</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35,2</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2,1</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2,6</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14</w:t>
            </w:r>
          </w:p>
        </w:tc>
      </w:tr>
      <w:tr w:rsidR="006013CA" w:rsidRPr="00AC7178" w:rsidTr="00A269F3">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Centro</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-0,5</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20,8</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37,4</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29,3</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-1,8</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12,8</w:t>
            </w:r>
          </w:p>
        </w:tc>
      </w:tr>
      <w:tr w:rsidR="006013CA" w:rsidRPr="00AC7178" w:rsidTr="00A269F3">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Sud</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-1,6</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33,2</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35,9</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-14,9</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-10,5</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9,9</w:t>
            </w:r>
          </w:p>
        </w:tc>
      </w:tr>
      <w:tr w:rsidR="006013CA" w:rsidRPr="00AC7178" w:rsidTr="00A269F3">
        <w:trPr>
          <w:trHeight w:val="227"/>
        </w:trPr>
        <w:tc>
          <w:tcPr>
            <w:tcW w:w="1644" w:type="dxa"/>
            <w:tcBorders>
              <w:top w:val="nil"/>
              <w:left w:val="nil"/>
              <w:bottom w:val="nil"/>
              <w:right w:val="nil"/>
            </w:tcBorders>
            <w:shd w:val="clear" w:color="000000" w:fill="FFFFFF"/>
            <w:noWrap/>
            <w:vAlign w:val="center"/>
          </w:tcPr>
          <w:p w:rsidR="006013CA" w:rsidRPr="00EA7C8D" w:rsidRDefault="006013CA">
            <w:pPr>
              <w:spacing w:after="0" w:line="240" w:lineRule="auto"/>
              <w:jc w:val="left"/>
              <w:rPr>
                <w:rFonts w:ascii="Calibri" w:hAnsi="Calibri" w:cs="Calibri"/>
                <w:color w:val="000000"/>
                <w:sz w:val="18"/>
                <w:szCs w:val="18"/>
                <w:lang w:eastAsia="it-IT"/>
              </w:rPr>
            </w:pPr>
            <w:r w:rsidRPr="00EA7C8D">
              <w:rPr>
                <w:rFonts w:ascii="Calibri" w:hAnsi="Calibri" w:cs="Calibri"/>
                <w:color w:val="000000"/>
                <w:sz w:val="18"/>
                <w:szCs w:val="18"/>
                <w:lang w:eastAsia="it-IT"/>
              </w:rPr>
              <w:t>Isole</w:t>
            </w:r>
          </w:p>
        </w:tc>
        <w:tc>
          <w:tcPr>
            <w:tcW w:w="639" w:type="dxa"/>
            <w:tcBorders>
              <w:top w:val="nil"/>
              <w:left w:val="nil"/>
              <w:bottom w:val="nil"/>
              <w:right w:val="nil"/>
            </w:tcBorders>
            <w:shd w:val="clear" w:color="000000" w:fill="FFFFF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-4,3</w:t>
            </w:r>
          </w:p>
        </w:tc>
        <w:tc>
          <w:tcPr>
            <w:tcW w:w="1418"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5,6</w:t>
            </w:r>
          </w:p>
        </w:tc>
        <w:tc>
          <w:tcPr>
            <w:tcW w:w="99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67,7</w:t>
            </w:r>
          </w:p>
        </w:tc>
        <w:tc>
          <w:tcPr>
            <w:tcW w:w="987"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8,1</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-7,1</w:t>
            </w:r>
          </w:p>
        </w:tc>
        <w:tc>
          <w:tcPr>
            <w:tcW w:w="1275"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-1,7</w:t>
            </w:r>
          </w:p>
        </w:tc>
        <w:tc>
          <w:tcPr>
            <w:tcW w:w="993" w:type="dxa"/>
            <w:tcBorders>
              <w:top w:val="nil"/>
              <w:left w:val="nil"/>
              <w:bottom w:val="nil"/>
              <w:right w:val="nil"/>
            </w:tcBorders>
            <w:shd w:val="clear" w:color="000000" w:fill="FFFFF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7,9</w:t>
            </w:r>
          </w:p>
        </w:tc>
      </w:tr>
      <w:tr w:rsidR="006013CA" w:rsidRPr="00AC7178" w:rsidTr="00A269F3">
        <w:trPr>
          <w:trHeight w:val="300"/>
        </w:trPr>
        <w:tc>
          <w:tcPr>
            <w:tcW w:w="1644" w:type="dxa"/>
            <w:tcBorders>
              <w:top w:val="single" w:sz="4" w:space="0" w:color="auto"/>
              <w:left w:val="nil"/>
              <w:bottom w:val="single" w:sz="4" w:space="0" w:color="auto"/>
              <w:right w:val="nil"/>
            </w:tcBorders>
            <w:shd w:val="clear" w:color="000000" w:fill="BFBFBF"/>
            <w:noWrap/>
            <w:vAlign w:val="center"/>
          </w:tcPr>
          <w:p w:rsidR="006013CA" w:rsidRPr="00EA7C8D" w:rsidRDefault="006013CA">
            <w:pPr>
              <w:spacing w:after="0" w:line="240" w:lineRule="auto"/>
              <w:jc w:val="lef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Italia</w:t>
            </w:r>
          </w:p>
        </w:tc>
        <w:tc>
          <w:tcPr>
            <w:tcW w:w="639" w:type="dxa"/>
            <w:tcBorders>
              <w:top w:val="single" w:sz="4" w:space="0" w:color="auto"/>
              <w:left w:val="nil"/>
              <w:bottom w:val="single" w:sz="4" w:space="0" w:color="auto"/>
              <w:right w:val="nil"/>
            </w:tcBorders>
            <w:shd w:val="clear" w:color="000000" w:fill="BFBFBF"/>
            <w:noWrap/>
            <w:vAlign w:val="center"/>
          </w:tcPr>
          <w:p w:rsidR="006013CA" w:rsidRPr="00EA7C8D" w:rsidRDefault="006013CA">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-6,8</w:t>
            </w:r>
          </w:p>
        </w:tc>
        <w:tc>
          <w:tcPr>
            <w:tcW w:w="1418"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22,7</w:t>
            </w:r>
          </w:p>
        </w:tc>
        <w:tc>
          <w:tcPr>
            <w:tcW w:w="997"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35,8</w:t>
            </w:r>
          </w:p>
        </w:tc>
        <w:tc>
          <w:tcPr>
            <w:tcW w:w="987"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11,6</w:t>
            </w:r>
          </w:p>
        </w:tc>
        <w:tc>
          <w:tcPr>
            <w:tcW w:w="993"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-8,1</w:t>
            </w:r>
          </w:p>
        </w:tc>
        <w:tc>
          <w:tcPr>
            <w:tcW w:w="1275"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color w:val="000000"/>
                <w:sz w:val="18"/>
                <w:szCs w:val="18"/>
                <w:lang w:eastAsia="it-IT"/>
              </w:rPr>
            </w:pPr>
            <w:r w:rsidRPr="00EA7C8D">
              <w:rPr>
                <w:rFonts w:ascii="Calibri" w:hAnsi="Calibri" w:cs="Calibri"/>
                <w:color w:val="000000"/>
                <w:sz w:val="18"/>
                <w:szCs w:val="18"/>
                <w:lang w:eastAsia="it-IT"/>
              </w:rPr>
              <w:t>-5,3</w:t>
            </w:r>
          </w:p>
        </w:tc>
        <w:tc>
          <w:tcPr>
            <w:tcW w:w="993" w:type="dxa"/>
            <w:tcBorders>
              <w:top w:val="single" w:sz="4" w:space="0" w:color="auto"/>
              <w:left w:val="nil"/>
              <w:bottom w:val="single" w:sz="4" w:space="0" w:color="auto"/>
              <w:right w:val="nil"/>
            </w:tcBorders>
            <w:shd w:val="clear" w:color="000000" w:fill="BFBFBF"/>
            <w:noWrap/>
            <w:vAlign w:val="center"/>
          </w:tcPr>
          <w:p w:rsidR="006013CA" w:rsidRPr="00EA7C8D" w:rsidRDefault="006013CA" w:rsidP="00A269F3">
            <w:pPr>
              <w:spacing w:after="0" w:line="240" w:lineRule="auto"/>
              <w:jc w:val="right"/>
              <w:rPr>
                <w:rFonts w:ascii="Calibri" w:hAnsi="Calibri" w:cs="Calibri"/>
                <w:b/>
                <w:bCs/>
                <w:color w:val="000000"/>
                <w:sz w:val="18"/>
                <w:szCs w:val="18"/>
                <w:lang w:eastAsia="it-IT"/>
              </w:rPr>
            </w:pPr>
            <w:r w:rsidRPr="00EA7C8D">
              <w:rPr>
                <w:rFonts w:ascii="Calibri" w:hAnsi="Calibri" w:cs="Calibri"/>
                <w:b/>
                <w:bCs/>
                <w:color w:val="000000"/>
                <w:sz w:val="18"/>
                <w:szCs w:val="18"/>
                <w:lang w:eastAsia="it-IT"/>
              </w:rPr>
              <w:t>9,8</w:t>
            </w:r>
          </w:p>
        </w:tc>
      </w:tr>
    </w:tbl>
    <w:p w:rsidR="006013CA" w:rsidRDefault="006013CA">
      <w:pPr>
        <w:spacing w:after="120" w:line="240" w:lineRule="auto"/>
        <w:rPr>
          <w:szCs w:val="28"/>
          <w:lang w:eastAsia="it-IT"/>
        </w:rPr>
      </w:pPr>
    </w:p>
    <w:p w:rsidR="006013CA" w:rsidRPr="00605D41" w:rsidRDefault="006013CA">
      <w:pPr>
        <w:spacing w:after="120" w:line="240" w:lineRule="auto"/>
        <w:rPr>
          <w:szCs w:val="28"/>
          <w:lang w:eastAsia="it-IT"/>
        </w:rPr>
      </w:pPr>
      <w:r w:rsidRPr="00605D41">
        <w:rPr>
          <w:szCs w:val="28"/>
          <w:lang w:eastAsia="it-IT"/>
        </w:rPr>
        <w:t>Negli stessi anni, si è registrato un costante aumento sul totale della popolazione della quota della popolazione anziana (65 anni e più), che è quasi raddoppiata tra il 1971 e il 2011. Il fenomeno dell’invecchiamento ha interessato sia i Centri che le Aree Interne</w:t>
      </w:r>
      <w:r>
        <w:rPr>
          <w:szCs w:val="28"/>
          <w:lang w:eastAsia="it-IT"/>
        </w:rPr>
        <w:t xml:space="preserve">, </w:t>
      </w:r>
      <w:r w:rsidRPr="00605D41">
        <w:rPr>
          <w:szCs w:val="28"/>
          <w:lang w:eastAsia="it-IT"/>
        </w:rPr>
        <w:t xml:space="preserve"> ma è soprattutto nelle aree periferiche ed ultra-periferiche, ed in particolare del Centro Nord, che si registrano le percentuali più elevate (in alcuni casi, come in Liguria ed Emilia Romagna, anche superiori al 30 per cento).</w:t>
      </w:r>
    </w:p>
    <w:p w:rsidR="006013CA" w:rsidRPr="00605D41" w:rsidRDefault="006013CA">
      <w:pPr>
        <w:spacing w:after="120" w:line="240" w:lineRule="auto"/>
        <w:rPr>
          <w:szCs w:val="28"/>
          <w:lang w:eastAsia="it-IT"/>
        </w:rPr>
      </w:pPr>
      <w:r w:rsidRPr="00605D41">
        <w:rPr>
          <w:szCs w:val="28"/>
          <w:lang w:eastAsia="it-IT"/>
        </w:rPr>
        <w:t xml:space="preserve">Gli effetti di queste dinamiche sono stati solo in parte ‘mitigati’ dall’intensificarsi della presenza straniera in tutto il Paese: negli ultimi 10 anni, infatti, gli stranieri residenti in Italia sono passati dal poco più del 2 per cento a circa il 7 per cento, e, pur partendo da valori differenti, la presenza si è quasi triplicata tanto nei Centri quanto nelle Aree Interne (dove questa presenza risulta a oggi solo leggermente inferiore a quella dei centri). </w:t>
      </w:r>
    </w:p>
    <w:p w:rsidR="006013CA" w:rsidRPr="00A269F3" w:rsidRDefault="006013CA">
      <w:pPr>
        <w:spacing w:after="120" w:line="240" w:lineRule="auto"/>
        <w:rPr>
          <w:spacing w:val="-2"/>
          <w:szCs w:val="28"/>
          <w:lang w:eastAsia="it-IT"/>
        </w:rPr>
      </w:pPr>
      <w:r w:rsidRPr="00A269F3">
        <w:rPr>
          <w:spacing w:val="-2"/>
          <w:szCs w:val="28"/>
          <w:lang w:eastAsia="it-IT"/>
        </w:rPr>
        <w:t>Le trasformazioni demografiche, sia quantitative sia qualitative, illustrate hanno determinato un allentamento del presidio della popolazione sul territorio, e un cambiamento nell’ uso del suolo e della sua destinazione, in particolare nelle aree interne, con conseguente aumento di fenomeni quali la perdita di una tutela attiva del territorio e l’aumento del livello del rischio idrogeologico.</w:t>
      </w:r>
    </w:p>
    <w:p w:rsidR="006013CA" w:rsidRPr="00605D41" w:rsidRDefault="006013CA">
      <w:pPr>
        <w:spacing w:after="120" w:line="240" w:lineRule="auto"/>
        <w:rPr>
          <w:szCs w:val="28"/>
          <w:lang w:eastAsia="it-IT"/>
        </w:rPr>
      </w:pPr>
      <w:r w:rsidRPr="00605D41">
        <w:rPr>
          <w:szCs w:val="28"/>
          <w:lang w:eastAsia="it-IT"/>
        </w:rPr>
        <w:t>Negli ultimi trent’anni si è registrata una forte tendenza alla diminuzione della superficie agricola utilizzata (SAU)</w:t>
      </w:r>
      <w:r w:rsidRPr="00605D41">
        <w:rPr>
          <w:szCs w:val="28"/>
          <w:vertAlign w:val="superscript"/>
          <w:lang w:eastAsia="it-IT"/>
        </w:rPr>
        <w:footnoteReference w:id="8"/>
      </w:r>
      <w:r w:rsidRPr="00605D41">
        <w:rPr>
          <w:szCs w:val="28"/>
          <w:lang w:eastAsia="it-IT"/>
        </w:rPr>
        <w:t xml:space="preserve"> legata all’abbandono dei terreni agricoli, che ha interessato sia le aree interne, soprattutto le ampie fasce delle zone montane in aree periferiche ed ultra-periferiche, sia le fasce di cintura. Si nota tuttavia una tenuta nelle aree ad agricoltura intensiva delle zone agricole dei Centri (Pianura Padana) e in contesti in cui sono presenti sistemi agricoli di qualità tanto nei Centri quanto nelle Aree Interne ( ad es. frutticultura in Trentino e in Sicilia e aree vitivinicole in generale).</w:t>
      </w:r>
    </w:p>
    <w:p w:rsidR="006013CA" w:rsidRPr="00605D41" w:rsidRDefault="006013CA">
      <w:pPr>
        <w:spacing w:after="120" w:line="240" w:lineRule="auto"/>
        <w:rPr>
          <w:szCs w:val="28"/>
          <w:lang w:eastAsia="it-IT"/>
        </w:rPr>
      </w:pPr>
      <w:r w:rsidRPr="00605D41">
        <w:rPr>
          <w:szCs w:val="28"/>
          <w:lang w:eastAsia="it-IT"/>
        </w:rPr>
        <w:t>Alla riduzione del territorio destinato ad uso agricolo è corrisposto negli anni un aumento della superficie coperta da foreste. Attualmente il patrimonio forestale nazionale supera i 10 milioni di ettari</w:t>
      </w:r>
      <w:r w:rsidRPr="00605D41">
        <w:rPr>
          <w:szCs w:val="28"/>
          <w:vertAlign w:val="superscript"/>
          <w:lang w:eastAsia="it-IT"/>
        </w:rPr>
        <w:footnoteReference w:id="9"/>
      </w:r>
      <w:r w:rsidRPr="00605D41">
        <w:rPr>
          <w:szCs w:val="28"/>
          <w:lang w:eastAsia="it-IT"/>
        </w:rPr>
        <w:t xml:space="preserve"> e dal 1948 ad oggi si è incrementato di oltre il doppio. Esso ricopre oltre un terzo della superficie nazionale, e per oltre il 70 per cento ricade nelle Aree interne. Se si considera poi la categoria ‘bosco’, che rappresenta la base produttiva della filiera foresta legno ed energia nazionale, oltre l’80 per cento è situata nelle sole aree interne. In ragione della ricchezza di foreste e boschi, nelle Aree interne sono molte le zone di interesse naturalistico e faunistico. Vi ricade infatti una quota elevata ( superi</w:t>
      </w:r>
      <w:bookmarkStart w:id="10" w:name="_GoBack"/>
      <w:bookmarkEnd w:id="10"/>
      <w:r w:rsidRPr="00605D41">
        <w:rPr>
          <w:szCs w:val="28"/>
          <w:lang w:eastAsia="it-IT"/>
        </w:rPr>
        <w:t>ore al 70 per cento)</w:t>
      </w:r>
      <w:r w:rsidRPr="00605D41">
        <w:rPr>
          <w:szCs w:val="28"/>
          <w:vertAlign w:val="superscript"/>
          <w:lang w:eastAsia="it-IT"/>
        </w:rPr>
        <w:footnoteReference w:id="10"/>
      </w:r>
      <w:r w:rsidRPr="00605D41">
        <w:rPr>
          <w:szCs w:val="28"/>
          <w:lang w:eastAsia="it-IT"/>
        </w:rPr>
        <w:t xml:space="preserve"> di Siti di Interesse Comunitario (SIC)</w:t>
      </w:r>
      <w:r>
        <w:rPr>
          <w:szCs w:val="28"/>
          <w:lang w:eastAsia="it-IT"/>
        </w:rPr>
        <w:t xml:space="preserve">, </w:t>
      </w:r>
      <w:r w:rsidRPr="00605D41">
        <w:rPr>
          <w:szCs w:val="28"/>
          <w:lang w:eastAsia="it-IT"/>
        </w:rPr>
        <w:t xml:space="preserve"> delle Zone di Protezione Speciale (ZPS)</w:t>
      </w:r>
      <w:r w:rsidRPr="00605D41">
        <w:rPr>
          <w:szCs w:val="28"/>
          <w:vertAlign w:val="superscript"/>
          <w:lang w:eastAsia="it-IT"/>
        </w:rPr>
        <w:footnoteReference w:id="11"/>
      </w:r>
      <w:r w:rsidRPr="00605D41">
        <w:rPr>
          <w:szCs w:val="28"/>
          <w:vertAlign w:val="superscript"/>
          <w:lang w:eastAsia="it-IT"/>
        </w:rPr>
        <w:t xml:space="preserve"> </w:t>
      </w:r>
      <w:r w:rsidRPr="00605D41">
        <w:rPr>
          <w:szCs w:val="28"/>
          <w:lang w:eastAsia="it-IT"/>
        </w:rPr>
        <w:t>oltre che delle Aree Naturali protette</w:t>
      </w:r>
      <w:r w:rsidRPr="00605D41">
        <w:rPr>
          <w:szCs w:val="28"/>
          <w:vertAlign w:val="superscript"/>
          <w:lang w:eastAsia="it-IT"/>
        </w:rPr>
        <w:footnoteReference w:id="12"/>
      </w:r>
      <w:r w:rsidRPr="00605D41">
        <w:rPr>
          <w:szCs w:val="28"/>
          <w:lang w:eastAsia="it-IT"/>
        </w:rPr>
        <w:t>.</w:t>
      </w:r>
    </w:p>
    <w:p w:rsidR="006013CA" w:rsidRPr="00605D41" w:rsidRDefault="006013CA">
      <w:pPr>
        <w:spacing w:after="120" w:line="240" w:lineRule="auto"/>
        <w:rPr>
          <w:szCs w:val="28"/>
          <w:lang w:eastAsia="it-IT"/>
        </w:rPr>
      </w:pPr>
      <w:r w:rsidRPr="00605D41">
        <w:rPr>
          <w:szCs w:val="28"/>
          <w:lang w:eastAsia="it-IT"/>
        </w:rPr>
        <w:t>Coerentemente con le caratteristiche fisiche delle aree interne, la loro struttura economica</w:t>
      </w:r>
      <w:r w:rsidRPr="00605D41">
        <w:rPr>
          <w:szCs w:val="28"/>
          <w:vertAlign w:val="superscript"/>
          <w:lang w:eastAsia="it-IT"/>
        </w:rPr>
        <w:footnoteReference w:id="13"/>
      </w:r>
      <w:r w:rsidRPr="00605D41">
        <w:rPr>
          <w:szCs w:val="28"/>
          <w:lang w:eastAsia="it-IT"/>
        </w:rPr>
        <w:t xml:space="preserve"> si caratterizza per una forte specializzazione</w:t>
      </w:r>
      <w:r w:rsidRPr="00605D41">
        <w:rPr>
          <w:szCs w:val="28"/>
          <w:vertAlign w:val="superscript"/>
          <w:lang w:eastAsia="it-IT"/>
        </w:rPr>
        <w:footnoteReference w:id="14"/>
      </w:r>
      <w:r w:rsidRPr="00605D41">
        <w:rPr>
          <w:szCs w:val="28"/>
          <w:lang w:eastAsia="it-IT"/>
        </w:rPr>
        <w:t xml:space="preserve"> nel settore primario. In particolare, osserviamo che mentre nei Centri la percentuale di comuni specializzati nel primo settore è pari al 43 per cento, essa sale al 73 per cento nel caso dei comuni delle Aree interne. </w:t>
      </w:r>
      <w:r>
        <w:rPr>
          <w:szCs w:val="28"/>
          <w:lang w:eastAsia="it-IT"/>
        </w:rPr>
        <w:t>È</w:t>
      </w:r>
      <w:r w:rsidRPr="00605D41">
        <w:rPr>
          <w:szCs w:val="28"/>
          <w:lang w:eastAsia="it-IT"/>
        </w:rPr>
        <w:t xml:space="preserve"> comunque interessante osservare come all’interno delle Aree interne le realtà regionali presentino una certa variabilità: si osserva infatti una tendenza delle Aree interne delle regioni del Sud Italia (Abruzzo, Molise, Campania, Basilicata, Sicilia, Sardegna) ad una specializzazione agricola più diffusa della media rispetto a quelle del Centro-Nord. Sempre con riferimento alle Aree Interne, percentuali di specializzazione superiori alla media nel settore Secondario (20 per cento) si osservano oltre che nei comuni della Lombardia, anche in quelli del Piemonte, del Veneto, del Friuli Venezia Giulia e della Liguria. Per quanto riguarda il settore dei Servizi si osservano percentuali superiori alla media (7 per cento) in Valle d’Aosta, in Calabria, in Campania, nel Lazio e nel Trentino Alto Adige.</w:t>
      </w:r>
    </w:p>
    <w:p w:rsidR="006013CA" w:rsidRPr="00605D41" w:rsidRDefault="006013CA">
      <w:pPr>
        <w:spacing w:after="120" w:line="240" w:lineRule="auto"/>
        <w:rPr>
          <w:szCs w:val="28"/>
          <w:lang w:eastAsia="it-IT"/>
        </w:rPr>
      </w:pPr>
      <w:r w:rsidRPr="00605D41">
        <w:rPr>
          <w:szCs w:val="28"/>
          <w:lang w:eastAsia="it-IT"/>
        </w:rPr>
        <w:t>La dimensione media delle unità locali presenti nelle Aree interne è pari a tre addetti contro i quattro dei Centri, con una generale tendenza alla diminuzione della dimensione media via via che ci si sposta dal Nord verso il Sud</w:t>
      </w:r>
      <w:r w:rsidRPr="00605D41">
        <w:rPr>
          <w:szCs w:val="28"/>
          <w:vertAlign w:val="superscript"/>
          <w:lang w:eastAsia="it-IT"/>
        </w:rPr>
        <w:footnoteReference w:id="15"/>
      </w:r>
      <w:r w:rsidRPr="00605D41">
        <w:rPr>
          <w:szCs w:val="28"/>
          <w:lang w:eastAsia="it-IT"/>
        </w:rPr>
        <w:t>. Va inoltre aggiunto che la differenza tra dimensione media dei Centri e delle Aree interne cresce spostandosi verso il Sud: questi due fatti testimoniano una maggiore fragilità strutturale del sistema produttivo delle Aree interne di tali regioni. La quota di addetti alle Unità locali sulla popolazione residente è pari a 31,8 per cento nei Centri e 21,7 per cento nelle Aree interne con una forte variabilità regionale. In generale, si registra anche in questo caso, una tendenza alla diminuzione dei valori spostandosi da Nord verso Sud per entrambe le tipologie di territori. Tra le Aree interne vanno segnalate quelle della Valle d’Aosta, del Trentino Alto Adige e del Veneto per le quote di addetti sulla popolazione più prossime a quelle dei Centri e in qualche caso superiori.</w:t>
      </w:r>
    </w:p>
    <w:p w:rsidR="006013CA" w:rsidRPr="00605D41" w:rsidRDefault="006013CA">
      <w:pPr>
        <w:spacing w:after="120" w:line="240" w:lineRule="auto"/>
        <w:rPr>
          <w:szCs w:val="28"/>
          <w:lang w:eastAsia="it-IT"/>
        </w:rPr>
      </w:pPr>
      <w:r w:rsidRPr="00605D41">
        <w:rPr>
          <w:szCs w:val="28"/>
          <w:lang w:eastAsia="it-IT"/>
        </w:rPr>
        <w:t>A livello nazionale nelle Aree interne il reddito imponibile (ai fini Irpef) medio per abitante nel 2010 è del 18 per cento inferiore a quello dei Centri</w:t>
      </w:r>
      <w:r w:rsidRPr="00605D41">
        <w:rPr>
          <w:szCs w:val="28"/>
          <w:vertAlign w:val="superscript"/>
          <w:lang w:eastAsia="it-IT"/>
        </w:rPr>
        <w:footnoteReference w:id="16"/>
      </w:r>
      <w:r w:rsidRPr="00605D41">
        <w:rPr>
          <w:szCs w:val="28"/>
          <w:lang w:eastAsia="it-IT"/>
        </w:rPr>
        <w:t xml:space="preserve">. Si registrano però differenze a livello regionale: in regioni come la Valle d’Aosta e il Veneto, per esempio, le differenze sono inferiori al 10 per cento mentre superano il 20 per cento in Basilicata, Sicilia e Lazio. In generale la differenza tende ad aumentare spostandoci da Nord verso Sud. Dal 2004 al 2010 il reddito medio imponibile per abitante delle Aree interne è cresciuto meno rispetto a quello dei Centri (+10,6 per cento contro +11,4 per cento), segnando un incremento del differenziale tra queste due aree. Anche in questo caso si osservano differenze a livello regionale: Valle d’Aosta, Trentino Alto Adige, Umbria, Molise e Puglia mostrano infatti tassi di crescita del reddito imponibile medio superiori per le Aree interne rispetto ai Centri, al contrario le Aree Interne della Lombardia, del Friuli Venezia Giulia e dell’Abruzzo fanno registrare tassi di crescita ben al di sotto di quelli relativi ai centri. </w:t>
      </w:r>
    </w:p>
    <w:p w:rsidR="006013CA" w:rsidRPr="00605D41" w:rsidRDefault="006013CA">
      <w:pPr>
        <w:spacing w:after="120" w:line="240" w:lineRule="auto"/>
        <w:rPr>
          <w:szCs w:val="28"/>
          <w:lang w:eastAsia="it-IT"/>
        </w:rPr>
      </w:pPr>
    </w:p>
    <w:p w:rsidR="006013CA" w:rsidRPr="00605D41" w:rsidRDefault="006013CA" w:rsidP="00EA7C8D">
      <w:pPr>
        <w:keepNext/>
        <w:spacing w:after="120" w:line="240" w:lineRule="auto"/>
        <w:rPr>
          <w:b/>
          <w:i/>
          <w:szCs w:val="28"/>
          <w:lang w:eastAsia="it-IT"/>
        </w:rPr>
      </w:pPr>
      <w:r w:rsidRPr="00605D41">
        <w:rPr>
          <w:b/>
          <w:i/>
          <w:szCs w:val="28"/>
          <w:lang w:eastAsia="it-IT"/>
        </w:rPr>
        <w:t>BOX</w:t>
      </w:r>
    </w:p>
    <w:p w:rsidR="006013CA" w:rsidRPr="00320FD6" w:rsidRDefault="006013CA" w:rsidP="00EA7C8D">
      <w:pPr>
        <w:keepNext/>
        <w:spacing w:after="120" w:line="240" w:lineRule="auto"/>
        <w:rPr>
          <w:i/>
          <w:szCs w:val="28"/>
          <w:lang w:eastAsia="it-IT"/>
        </w:rPr>
      </w:pPr>
      <w:r w:rsidRPr="00605D41">
        <w:rPr>
          <w:i/>
          <w:szCs w:val="28"/>
          <w:lang w:eastAsia="it-IT"/>
        </w:rPr>
        <w:t>A conclusione dell’analisi statistica vale la pena ritornare sul concetto di “debolezza” che potrebbe essere associato alle aree interne. I dati analizzati, denunciano piuttosto una disomogeneità di situazioni che in alcuni casi si traduce in una effettiva fragilità dell’area ma che in altri casi rappresenta o potrebbe rappresentare un punto di forza. Basti pensare che a fronte di una dimensione media dei comuni di dette aree estremamente ridotta (pari a circa 3.000 abitanti) risultano ben 22 comuni con più di 40.000 abitanti, molti dei quali localizzati nella regione Lazio. Tra le Aree interne troviamo alcuni dei comuni italiani a più alta vocazione turistica: 23 comuni infatti risultano caratterizzati da una concentrazione alberghiera che va dalle 80 alle quasi 400 strutture; inoltre ben 17 comuni, solo in piccola parte inclusi nei precedenti, si caratterizzano per un numero di posti letto in albergo superiore a 2.000 per 1.000 abitanti. Alcuni comuni (9) ricompresi nelle Aree interne sono inoltre dotati di strutture aeroportuali di tipo civile. Infine 8 comuni collocati nel Centro-Nord si caratterizzano per un reddito imponibile (ai fini Irpef) medio per contribuente superiore ai 30.000 euro rispetto ad una media nazionale pari a circa 23.000</w:t>
      </w:r>
      <w:r>
        <w:rPr>
          <w:i/>
          <w:szCs w:val="28"/>
          <w:lang w:eastAsia="it-IT"/>
        </w:rPr>
        <w:t xml:space="preserve"> </w:t>
      </w:r>
      <w:r w:rsidRPr="00320FD6">
        <w:rPr>
          <w:i/>
          <w:szCs w:val="28"/>
          <w:lang w:eastAsia="it-IT"/>
        </w:rPr>
        <w:t>euro (anno di imposta 2010).</w:t>
      </w:r>
    </w:p>
    <w:p w:rsidR="006013CA" w:rsidRDefault="006013CA" w:rsidP="00A269F3">
      <w:pPr>
        <w:spacing w:after="120" w:line="240" w:lineRule="auto"/>
        <w:rPr>
          <w:szCs w:val="28"/>
          <w:lang w:eastAsia="it-IT"/>
        </w:rPr>
      </w:pPr>
    </w:p>
    <w:p w:rsidR="006013CA" w:rsidRDefault="006013CA">
      <w:pPr>
        <w:spacing w:after="120" w:line="240" w:lineRule="auto"/>
        <w:rPr>
          <w:szCs w:val="28"/>
          <w:lang w:eastAsia="it-IT"/>
        </w:rPr>
      </w:pPr>
    </w:p>
    <w:p w:rsidR="006013CA" w:rsidRPr="00034E57" w:rsidRDefault="006013CA" w:rsidP="00034E57">
      <w:pPr>
        <w:spacing w:after="120" w:line="240" w:lineRule="auto"/>
        <w:rPr>
          <w:b/>
          <w:szCs w:val="28"/>
        </w:rPr>
      </w:pPr>
    </w:p>
    <w:p w:rsidR="006013CA" w:rsidRPr="00034E57" w:rsidRDefault="006013CA" w:rsidP="00034E57">
      <w:pPr>
        <w:spacing w:after="120" w:line="240" w:lineRule="auto"/>
        <w:rPr>
          <w:b/>
          <w:szCs w:val="28"/>
        </w:rPr>
      </w:pPr>
    </w:p>
    <w:p w:rsidR="006013CA" w:rsidRDefault="006013CA">
      <w:pPr>
        <w:spacing w:after="0" w:line="240" w:lineRule="auto"/>
        <w:rPr>
          <w:b/>
          <w:bCs/>
          <w:szCs w:val="28"/>
          <w:lang w:eastAsia="it-IT"/>
        </w:rPr>
      </w:pPr>
      <w:r>
        <w:rPr>
          <w:lang w:eastAsia="it-IT"/>
        </w:rPr>
        <w:br w:type="page"/>
      </w:r>
    </w:p>
    <w:p w:rsidR="006013CA" w:rsidRPr="00EA7C8D" w:rsidRDefault="006013CA" w:rsidP="00EA7C8D">
      <w:pPr>
        <w:pStyle w:val="Heading2"/>
        <w:spacing w:before="0" w:after="360" w:line="240" w:lineRule="auto"/>
        <w:ind w:left="567" w:hanging="567"/>
        <w:rPr>
          <w:rFonts w:ascii="Garamond" w:hAnsi="Garamond"/>
        </w:rPr>
      </w:pPr>
      <w:bookmarkStart w:id="11" w:name="_Toc356901587"/>
      <w:r w:rsidRPr="00EA7C8D">
        <w:rPr>
          <w:rFonts w:ascii="Garamond" w:hAnsi="Garamond"/>
        </w:rPr>
        <w:t xml:space="preserve">3. </w:t>
      </w:r>
      <w:r>
        <w:rPr>
          <w:rFonts w:ascii="Garamond" w:hAnsi="Garamond"/>
        </w:rPr>
        <w:tab/>
      </w:r>
      <w:r w:rsidRPr="00EA7C8D">
        <w:rPr>
          <w:rFonts w:ascii="Garamond" w:hAnsi="Garamond"/>
        </w:rPr>
        <w:t>Precondizioni dello sviluppo locale: Scuola; Sanità e Mobilità</w:t>
      </w:r>
      <w:bookmarkEnd w:id="11"/>
      <w:r w:rsidRPr="00EA7C8D">
        <w:rPr>
          <w:rFonts w:ascii="Garamond" w:hAnsi="Garamond"/>
        </w:rPr>
        <w:t xml:space="preserve"> </w:t>
      </w:r>
    </w:p>
    <w:p w:rsidR="006013CA" w:rsidRPr="00EA7C8D" w:rsidRDefault="006013CA" w:rsidP="00EA7C8D">
      <w:pPr>
        <w:pStyle w:val="Heading3"/>
        <w:spacing w:before="0" w:after="240" w:line="240" w:lineRule="auto"/>
        <w:rPr>
          <w:sz w:val="24"/>
          <w:szCs w:val="24"/>
        </w:rPr>
      </w:pPr>
      <w:bookmarkStart w:id="12" w:name="_Toc356901588"/>
      <w:r w:rsidRPr="00EA7C8D">
        <w:rPr>
          <w:b/>
          <w:sz w:val="24"/>
          <w:szCs w:val="24"/>
        </w:rPr>
        <w:t xml:space="preserve">3.1 </w:t>
      </w:r>
      <w:r>
        <w:rPr>
          <w:b/>
          <w:sz w:val="24"/>
          <w:szCs w:val="24"/>
        </w:rPr>
        <w:tab/>
      </w:r>
      <w:r w:rsidRPr="00EA7C8D">
        <w:rPr>
          <w:b/>
          <w:sz w:val="24"/>
          <w:szCs w:val="24"/>
        </w:rPr>
        <w:t>Premessa</w:t>
      </w:r>
      <w:bookmarkEnd w:id="12"/>
    </w:p>
    <w:p w:rsidR="006013CA" w:rsidRPr="006E3F4A" w:rsidRDefault="006013CA">
      <w:pPr>
        <w:spacing w:after="120" w:line="240" w:lineRule="auto"/>
        <w:rPr>
          <w:szCs w:val="28"/>
        </w:rPr>
      </w:pPr>
      <w:r w:rsidRPr="006E3F4A">
        <w:rPr>
          <w:szCs w:val="28"/>
        </w:rPr>
        <w:t>Se nelle aree interne non sono soddisfatti i servizi “essenziali” di cittadinanza, in queste aree non si può vivere. Se una quota importante della popolazione ha difficoltà ad accedere a scuole in cui i livelli di apprendimento e la qualità degli insegnanti sia equivalente a quella garantita nei maggiori centri urbani, ad ospedali capaci di garantire i servizi sanitari essenziali (pronto-soccorso; emergenze; punti parto; trasfusioni) e ad adeguati sistemi di mobilità interna ed esterna si pone da un lato una questione di costituzionalità e di diritto alla cittadinanza piena; dall’altra si entra in un circolo vizioso di marginalità per cui all’emorragia demografica, segue un processo di continua rarefazione dei servizi stessi, precludendo l’utilità di un qualsiasi intervento di sviluppo.</w:t>
      </w:r>
    </w:p>
    <w:p w:rsidR="006013CA" w:rsidRPr="006E3F4A" w:rsidRDefault="006013CA">
      <w:pPr>
        <w:spacing w:after="120" w:line="240" w:lineRule="auto"/>
        <w:rPr>
          <w:szCs w:val="28"/>
        </w:rPr>
      </w:pPr>
      <w:r>
        <w:rPr>
          <w:szCs w:val="28"/>
        </w:rPr>
        <w:t>I</w:t>
      </w:r>
      <w:r w:rsidRPr="006E3F4A">
        <w:rPr>
          <w:szCs w:val="28"/>
        </w:rPr>
        <w:t>l tema della cittadinanza è condizione necessaria alla prospettiva di sviluppo – se in queste aree non sono garantiti i servizi di base, se ne non se ne monitorano i livelli essenziali e la qualità dell’offerta, è inutile investire in strategie di sviluppo e progettualità. Due quindi le questioni essenziali in termini di strategia:</w:t>
      </w:r>
    </w:p>
    <w:p w:rsidR="006013CA" w:rsidRPr="006E3F4A" w:rsidRDefault="006013CA" w:rsidP="00034E57">
      <w:pPr>
        <w:numPr>
          <w:ilvl w:val="0"/>
          <w:numId w:val="7"/>
        </w:numPr>
        <w:spacing w:after="120" w:line="240" w:lineRule="auto"/>
        <w:contextualSpacing/>
        <w:rPr>
          <w:szCs w:val="28"/>
        </w:rPr>
      </w:pPr>
      <w:r w:rsidRPr="006E3F4A">
        <w:rPr>
          <w:szCs w:val="28"/>
        </w:rPr>
        <w:t>La necessità di assicurarsi che per ciascuna filiera dell’offerta dei diversi servizi essenziali sia garantito un monitoraggio della rete dei servizi, delle diverse soluzioni individuate per garantirne l’offerta, delle modalità di accesso e della qualità dei servizi stessi (misurandone i risultati) e soprattutto degli esiti che queste diverse soluzioni garantiscono sui cittadini (d esempio una maggiore competenza degli studenti e minori divelli di mortalità infantile).</w:t>
      </w:r>
    </w:p>
    <w:p w:rsidR="006013CA" w:rsidRPr="006E3F4A" w:rsidRDefault="006013CA" w:rsidP="00034E57">
      <w:pPr>
        <w:numPr>
          <w:ilvl w:val="0"/>
          <w:numId w:val="7"/>
        </w:numPr>
        <w:spacing w:after="120" w:line="240" w:lineRule="auto"/>
        <w:contextualSpacing/>
        <w:rPr>
          <w:szCs w:val="28"/>
        </w:rPr>
      </w:pPr>
      <w:r w:rsidRPr="006E3F4A">
        <w:rPr>
          <w:szCs w:val="28"/>
        </w:rPr>
        <w:t>Che siano individuate le necessarie soluzioni di ribilanciamento (ad esempio la distribuzione dei plessi nelle diverse aree) e di incentivo ad operare in queste aree (ad esempio un premio speciale per frenare la mobilità dei professori) – anche ricorrendo</w:t>
      </w:r>
      <w:r w:rsidRPr="004B43BD">
        <w:rPr>
          <w:sz w:val="24"/>
          <w:szCs w:val="24"/>
        </w:rPr>
        <w:t xml:space="preserve">, </w:t>
      </w:r>
      <w:r w:rsidRPr="006E3F4A">
        <w:rPr>
          <w:szCs w:val="28"/>
        </w:rPr>
        <w:t xml:space="preserve">quando necessario, a soluzioni innovative per l’offerta dei servizi stessi (come l’utilizzo di strutture fisiche alternative per l’offerta dei servizi sanitari; la telemedicina; le biblioteche itineranti e servizi di bus sharing alla domanda). </w:t>
      </w:r>
    </w:p>
    <w:p w:rsidR="006013CA" w:rsidRPr="006E3F4A" w:rsidRDefault="006013CA">
      <w:pPr>
        <w:spacing w:after="120" w:line="240" w:lineRule="auto"/>
        <w:rPr>
          <w:szCs w:val="28"/>
        </w:rPr>
      </w:pPr>
      <w:r w:rsidRPr="006E3F4A">
        <w:rPr>
          <w:szCs w:val="28"/>
        </w:rPr>
        <w:t>Il prevalere nelle Aree Interne di Comuni di piccole dimensioni – che nelle aree periferiche costituiscono fino all’86 per cento del totale – implica che un’organizzazione in forma associata (sia questa più o meno formalizzata) e/o consorziale dei Comuni sia importante per l’organizzazione dei servizi sul territorio. La programmazione comunitaria in materia di aree interne rappresenta un’occasione unica per coniugare azioni di sviluppo locale e una gestione associata dei servizi. Questa associazione tra Comuni potrà assumere forme e ampiezza diverse a seconda della natura del servizio preso in considerazione. In alcuni casi – come ad esempio quello della mobilità interna – la scala potrà superare l’associazione dei Comuni e arrivare a una dimensione più ampia, come quella della Provincia.</w:t>
      </w:r>
    </w:p>
    <w:p w:rsidR="006013CA" w:rsidRDefault="006013CA">
      <w:pPr>
        <w:spacing w:after="120" w:line="240" w:lineRule="auto"/>
        <w:rPr>
          <w:szCs w:val="28"/>
        </w:rPr>
      </w:pPr>
      <w:r w:rsidRPr="006E3F4A">
        <w:rPr>
          <w:szCs w:val="28"/>
        </w:rPr>
        <w:t>L’intervento della politica ordinaria in linea con quanto descritto sarà improcrastinabile e dovrà essere collegato a ciascuno delle iniziative progettuali e strategiche collegate all’intervento in favore delle Aree Interne che si farà nell’ambito della politica regionale. Ripensare i servizi offerti ai cittadini in un’ottica di ribilanciamento territoriale implica quindi la necessità di ricorrere a nuove soluzioni di governance, capaci di coinvolgere volta per volta i diversi attori, presidi territoriali e Enti locali competenti nella specifica materia di riferimento (cfr</w:t>
      </w:r>
      <w:r>
        <w:rPr>
          <w:szCs w:val="28"/>
        </w:rPr>
        <w:t>.</w:t>
      </w:r>
      <w:r w:rsidRPr="006E3F4A">
        <w:rPr>
          <w:szCs w:val="28"/>
        </w:rPr>
        <w:t xml:space="preserve"> parte 4).</w:t>
      </w:r>
    </w:p>
    <w:p w:rsidR="006013CA" w:rsidRDefault="006013CA">
      <w:pPr>
        <w:spacing w:after="120" w:line="240" w:lineRule="auto"/>
        <w:rPr>
          <w:szCs w:val="28"/>
        </w:rPr>
      </w:pPr>
    </w:p>
    <w:p w:rsidR="006013CA" w:rsidRDefault="006013CA">
      <w:pPr>
        <w:spacing w:after="120" w:line="240" w:lineRule="auto"/>
        <w:rPr>
          <w:szCs w:val="28"/>
        </w:rPr>
      </w:pPr>
      <w:r>
        <w:rPr>
          <w:szCs w:val="28"/>
        </w:rPr>
        <w:t>Box II – Tutela del Territorio (in corso di redazione)</w:t>
      </w:r>
    </w:p>
    <w:p w:rsidR="006013CA" w:rsidRPr="006E3F4A" w:rsidRDefault="006013CA">
      <w:pPr>
        <w:spacing w:after="120" w:line="240" w:lineRule="auto"/>
        <w:rPr>
          <w:szCs w:val="28"/>
        </w:rPr>
      </w:pPr>
    </w:p>
    <w:p w:rsidR="006013CA" w:rsidRPr="00EA7C8D" w:rsidRDefault="006013CA" w:rsidP="00EA7C8D">
      <w:pPr>
        <w:pStyle w:val="Heading3"/>
        <w:spacing w:before="0" w:after="240" w:line="240" w:lineRule="auto"/>
        <w:rPr>
          <w:b/>
          <w:sz w:val="24"/>
          <w:szCs w:val="24"/>
        </w:rPr>
      </w:pPr>
      <w:bookmarkStart w:id="13" w:name="_Toc356901589"/>
      <w:r w:rsidRPr="00EA7C8D">
        <w:rPr>
          <w:b/>
          <w:sz w:val="24"/>
          <w:szCs w:val="24"/>
        </w:rPr>
        <w:t xml:space="preserve">3.2 </w:t>
      </w:r>
      <w:r>
        <w:rPr>
          <w:b/>
          <w:sz w:val="24"/>
          <w:szCs w:val="24"/>
        </w:rPr>
        <w:tab/>
      </w:r>
      <w:r w:rsidRPr="00EA7C8D">
        <w:rPr>
          <w:b/>
          <w:sz w:val="24"/>
          <w:szCs w:val="24"/>
        </w:rPr>
        <w:t>I servizi per la salute nelle Aree Interne</w:t>
      </w:r>
      <w:bookmarkEnd w:id="13"/>
    </w:p>
    <w:p w:rsidR="006013CA" w:rsidRPr="006E3F4A" w:rsidRDefault="006013CA">
      <w:pPr>
        <w:spacing w:after="120" w:line="240" w:lineRule="auto"/>
        <w:rPr>
          <w:szCs w:val="28"/>
        </w:rPr>
      </w:pPr>
      <w:r w:rsidRPr="006E3F4A">
        <w:rPr>
          <w:szCs w:val="28"/>
        </w:rPr>
        <w:t xml:space="preserve">La riorganizzazione dei servizi sanitari pubblici, in Italia come in altri paesi, è chiaramente guidata da ragioni di efficienza: si ricercano soluzioni organizzative più efficienti per contenere la crescita della spesa (quella attuale e quella che si può presumere dato l’invecchiamento della popolazione), cercando di garantire – nello stesso tempo – servizi migliori ai cittadini. </w:t>
      </w:r>
    </w:p>
    <w:p w:rsidR="006013CA" w:rsidRPr="00A269F3" w:rsidRDefault="006013CA">
      <w:pPr>
        <w:spacing w:after="120" w:line="240" w:lineRule="auto"/>
        <w:rPr>
          <w:spacing w:val="-2"/>
          <w:szCs w:val="28"/>
        </w:rPr>
      </w:pPr>
      <w:r w:rsidRPr="00A269F3">
        <w:rPr>
          <w:spacing w:val="-2"/>
          <w:szCs w:val="28"/>
        </w:rPr>
        <w:t>Questo processo riguarda soprattutto la riorganizzazione della rete territoriale degli ospedali, la spesa per i quali copre ancora in Italia circa la metà della componente pubblica della spesa sanitaria. Due sono le determinanti profonde del cambiamento. Da un lato, la constatazione di un mutato quadro epidemiologico - nel quale prevalgono malattie croniche che comportano bisogni di assistenza diversi rispetto al passato - spingono ad una riduzione della capacità produttiva degli ospedali. L’ospedale costa troppo e non costituisce sempre e necessariamente la risposta migliore per garantire i servizi che servono primariamente ai cittadini. Questo impone un consistente spostamento di risorse dall’ospedale alle cure territoriali, che si traduce nell’abbandono di un modello di cura al quale i cittadini sono ancora fortemente legati (l’ospedale come “luogo della cura”), verso un modello ancora tutto da disegnare e da sperimentare. Dall’altro lato, accanto al mutamento dei bisogni, si registra la presa di coscienza – da parte dei responsabili delle politiche economiche – dei risultati della letteratura economica e di quella medica che suggeriscono l’</w:t>
      </w:r>
      <w:r w:rsidRPr="00A269F3">
        <w:rPr>
          <w:b/>
          <w:spacing w:val="-2"/>
          <w:szCs w:val="28"/>
        </w:rPr>
        <w:t>esistenza di economie di scala nella produzione dei servizi sanitari</w:t>
      </w:r>
      <w:r w:rsidRPr="00A269F3">
        <w:rPr>
          <w:spacing w:val="-2"/>
          <w:szCs w:val="28"/>
        </w:rPr>
        <w:t xml:space="preserve">, alle quali si accompagna l’esistenza di vantaggi clinici in termini di qualità delle cure all’aumentare dei volumi. </w:t>
      </w:r>
    </w:p>
    <w:p w:rsidR="006013CA" w:rsidRPr="006E3F4A" w:rsidRDefault="006013CA">
      <w:pPr>
        <w:spacing w:after="120" w:line="240" w:lineRule="auto"/>
        <w:rPr>
          <w:szCs w:val="28"/>
        </w:rPr>
      </w:pPr>
      <w:r w:rsidRPr="006E3F4A">
        <w:rPr>
          <w:szCs w:val="28"/>
        </w:rPr>
        <w:t>La ristrutturazione della rete che accompagna la riduzione della capacità produttiva dovrebbe allora essere perseguita attraverso l’accentramento delle cure in ospedali più grandi che riescono a curare un numero adeguato di pazienti, con livelli migliori nella qualità delle prestazioni. Il corollario di questa politica è la chiusura dei piccoli ospedali, sia perché inefficienti in termini di scala, sia perché inefficaci in termini di qualità delle cure. Il riequilibrio tra servizi offerti dagli ospedali, e dai presidi territoriali quali specialistica, ambulatori laboratori e medici di medicina generale sta avvenendo – però - secondo modelli “regionali” alquanto differenti e con una scarsa attenzione alle esigenze specifiche delle Aree Interne e delle popolazioni che vi risiedono.</w:t>
      </w:r>
    </w:p>
    <w:p w:rsidR="006013CA" w:rsidRPr="00A269F3" w:rsidRDefault="006013CA">
      <w:pPr>
        <w:spacing w:after="120" w:line="240" w:lineRule="auto"/>
        <w:rPr>
          <w:spacing w:val="-2"/>
          <w:szCs w:val="28"/>
        </w:rPr>
      </w:pPr>
      <w:r w:rsidRPr="00A269F3">
        <w:rPr>
          <w:spacing w:val="-2"/>
          <w:szCs w:val="28"/>
        </w:rPr>
        <w:t>Le conseguenze di questa riorganizzazione per le aree oggetto di questa strategia sono evidenti a partire dalla definizione stessa di area interna, che ne sottolinea la perifericità e la bassa densità abitativa, tutti elementi che spingono nella direzione di un allontanamento dei centri di cura (intesi come ospedali, ma non solo) che diventano meno numerosi sul territorio e più grandi rispetto al passato. Se c’è un piccolo</w:t>
      </w:r>
      <w:r w:rsidRPr="00A269F3">
        <w:rPr>
          <w:spacing w:val="-2"/>
          <w:sz w:val="24"/>
          <w:szCs w:val="24"/>
        </w:rPr>
        <w:t xml:space="preserve"> </w:t>
      </w:r>
      <w:r w:rsidRPr="00A269F3">
        <w:rPr>
          <w:spacing w:val="-2"/>
          <w:szCs w:val="28"/>
        </w:rPr>
        <w:t>ospedale, si dovrebbe chiudere perché inefficiente e rischioso/inefficace in termini di salute. Se non c’era, l’area interna difficilmente può essere prescelta come luogo per costruirne uno nuovo più grande (e questo vale per il pubblico, così come per i servizi privati, che non dovrebbero trovare profittevole installarsi in un’area dove manca la domanda). Tutti questi elementi spingono verso un possibile peggioramento sul versante dell’equità proprio in aree dove i processi più accentuati di invecchiamento della popolazione, dovrebbero assicurare il perseguimento di efficaci soluzioni di policy.</w:t>
      </w:r>
    </w:p>
    <w:p w:rsidR="006013CA" w:rsidRPr="006E3F4A" w:rsidRDefault="006013CA">
      <w:pPr>
        <w:spacing w:after="120" w:line="240" w:lineRule="auto"/>
        <w:rPr>
          <w:szCs w:val="28"/>
        </w:rPr>
      </w:pPr>
      <w:r>
        <w:rPr>
          <w:szCs w:val="28"/>
        </w:rPr>
        <w:t xml:space="preserve">È </w:t>
      </w:r>
      <w:r w:rsidRPr="006E3F4A">
        <w:rPr>
          <w:szCs w:val="28"/>
        </w:rPr>
        <w:t>necessario pertanto accompagnare questo processo attraverso:</w:t>
      </w:r>
    </w:p>
    <w:p w:rsidR="006013CA" w:rsidRPr="006E3F4A" w:rsidRDefault="006013CA" w:rsidP="00A269F3">
      <w:pPr>
        <w:numPr>
          <w:ilvl w:val="0"/>
          <w:numId w:val="22"/>
        </w:numPr>
        <w:spacing w:after="120" w:line="240" w:lineRule="auto"/>
        <w:ind w:left="714" w:hanging="357"/>
        <w:rPr>
          <w:szCs w:val="28"/>
        </w:rPr>
      </w:pPr>
      <w:r w:rsidRPr="006E3F4A">
        <w:rPr>
          <w:szCs w:val="28"/>
        </w:rPr>
        <w:t>il monitoraggio – a livello nazionale e regionale – delle conseguenze che il perseguimento di un maggior grado di efficienza dei servizi alla salute ha provocato sull’equità in termini di accessibilità al servizio, e di esiti sulla salute dei cittadini. Il monitoraggio andrebbe effettuato considerando;</w:t>
      </w:r>
    </w:p>
    <w:p w:rsidR="006013CA" w:rsidRPr="006E3F4A" w:rsidRDefault="006013CA" w:rsidP="00A269F3">
      <w:pPr>
        <w:numPr>
          <w:ilvl w:val="0"/>
          <w:numId w:val="22"/>
        </w:numPr>
        <w:spacing w:after="120" w:line="240" w:lineRule="auto"/>
        <w:ind w:left="714" w:hanging="357"/>
        <w:rPr>
          <w:szCs w:val="28"/>
        </w:rPr>
      </w:pPr>
      <w:r w:rsidRPr="006E3F4A">
        <w:rPr>
          <w:szCs w:val="28"/>
        </w:rPr>
        <w:t xml:space="preserve">la valutazione delle conseguenze dell’allontanamento del servizio sanitario su </w:t>
      </w:r>
      <w:r w:rsidRPr="006E3F4A">
        <w:rPr>
          <w:i/>
          <w:szCs w:val="28"/>
        </w:rPr>
        <w:t>couches</w:t>
      </w:r>
      <w:r w:rsidRPr="006E3F4A">
        <w:rPr>
          <w:szCs w:val="28"/>
        </w:rPr>
        <w:t xml:space="preserve"> specifiche della popolazione quali gli anziani, donne anziane, donne che hanno bisogno di diagnostica pre-natale e disabili;</w:t>
      </w:r>
    </w:p>
    <w:p w:rsidR="006013CA" w:rsidRPr="006E3F4A" w:rsidRDefault="006013CA" w:rsidP="00A269F3">
      <w:pPr>
        <w:numPr>
          <w:ilvl w:val="0"/>
          <w:numId w:val="22"/>
        </w:numPr>
        <w:spacing w:after="120" w:line="240" w:lineRule="auto"/>
        <w:ind w:left="714" w:hanging="357"/>
        <w:rPr>
          <w:szCs w:val="28"/>
        </w:rPr>
      </w:pPr>
      <w:r w:rsidRPr="006E3F4A">
        <w:rPr>
          <w:szCs w:val="28"/>
        </w:rPr>
        <w:t xml:space="preserve">l’importanza di distinguere differenti tipologie di servizi. La </w:t>
      </w:r>
      <w:r w:rsidRPr="006E3F4A">
        <w:rPr>
          <w:b/>
          <w:szCs w:val="28"/>
        </w:rPr>
        <w:t>gestione delle emergenze</w:t>
      </w:r>
      <w:r w:rsidRPr="006E3F4A">
        <w:rPr>
          <w:szCs w:val="28"/>
        </w:rPr>
        <w:t xml:space="preserve"> richiede risposte differenti dalla </w:t>
      </w:r>
      <w:r w:rsidRPr="006E3F4A">
        <w:rPr>
          <w:b/>
          <w:szCs w:val="28"/>
        </w:rPr>
        <w:t>gestione dei servizi diagnostici</w:t>
      </w:r>
      <w:r w:rsidRPr="006E3F4A">
        <w:rPr>
          <w:szCs w:val="28"/>
        </w:rPr>
        <w:t xml:space="preserve">: il problema è, nel primo caso, come garantire la risposta in tempi rapidi, anche a chi si trova nel piccolo comune di montagna o su un’isola; nel secondo caso, come garantire un sistema di avvicinamento del servizio al paziente o del paziente al servizio. </w:t>
      </w:r>
    </w:p>
    <w:p w:rsidR="006013CA" w:rsidRPr="006E3F4A" w:rsidRDefault="006013CA" w:rsidP="00A269F3">
      <w:pPr>
        <w:numPr>
          <w:ilvl w:val="0"/>
          <w:numId w:val="7"/>
        </w:numPr>
        <w:spacing w:after="120" w:line="240" w:lineRule="auto"/>
        <w:ind w:left="714" w:hanging="357"/>
        <w:rPr>
          <w:szCs w:val="28"/>
        </w:rPr>
      </w:pPr>
      <w:r w:rsidRPr="006E3F4A">
        <w:rPr>
          <w:szCs w:val="28"/>
        </w:rPr>
        <w:t>L’individuazione di soluzioni specifiche: l’emergenza per l’infarto miocardico acuto può essere affrontata istruendo qualche membro della comunità all’impiego di un defibrillatore in attesa di un’ambulanza oppure con l’impiego di un elicottero. Gli esami di laboratorio possono essere garantiti da una infermiera che una o due volte la settimana va dai pazienti in un ambulatorio appositamente predisposto in uno dei centri dell’area interna; e anche gli ecografi (almeno alcuni) si possono spostare</w:t>
      </w:r>
      <w:r>
        <w:rPr>
          <w:szCs w:val="28"/>
        </w:rPr>
        <w:t>.</w:t>
      </w:r>
    </w:p>
    <w:p w:rsidR="006013CA" w:rsidRPr="006E3F4A" w:rsidRDefault="006013CA" w:rsidP="00A269F3">
      <w:pPr>
        <w:numPr>
          <w:ilvl w:val="0"/>
          <w:numId w:val="7"/>
        </w:numPr>
        <w:spacing w:after="120" w:line="240" w:lineRule="auto"/>
        <w:ind w:left="714" w:hanging="357"/>
        <w:rPr>
          <w:szCs w:val="28"/>
        </w:rPr>
      </w:pPr>
      <w:r w:rsidRPr="006E3F4A">
        <w:rPr>
          <w:szCs w:val="28"/>
        </w:rPr>
        <w:t>L’individuazione di soluzioni di policy innovative che tengano conto dell’importanza delle farmacie e del medico di medicina generale nei piccoli comuni, della necessità di puntare su strutture e modelli innovativi, quali ad esempio “la casa della salute”, i servizi sanitari mobili, l’assistenza domiciliare integrata e la telemedicina.</w:t>
      </w:r>
    </w:p>
    <w:p w:rsidR="006013CA" w:rsidRDefault="006013CA" w:rsidP="00034E57">
      <w:pPr>
        <w:numPr>
          <w:ilvl w:val="0"/>
          <w:numId w:val="7"/>
        </w:numPr>
        <w:spacing w:after="120" w:line="240" w:lineRule="auto"/>
        <w:contextualSpacing/>
        <w:rPr>
          <w:szCs w:val="28"/>
        </w:rPr>
      </w:pPr>
      <w:r w:rsidRPr="006E3F4A">
        <w:rPr>
          <w:szCs w:val="28"/>
        </w:rPr>
        <w:t>La presa in considerazione delle esigenze specifiche di queste aree nella stesura dei piani sanitari di rientro e nella normativa applicativa che ne consegue.</w:t>
      </w:r>
    </w:p>
    <w:p w:rsidR="006013CA" w:rsidRPr="006E3F4A" w:rsidRDefault="006013CA" w:rsidP="00034E57">
      <w:pPr>
        <w:spacing w:after="120" w:line="240" w:lineRule="auto"/>
        <w:ind w:left="360"/>
        <w:contextualSpacing/>
        <w:rPr>
          <w:szCs w:val="28"/>
        </w:rPr>
      </w:pPr>
    </w:p>
    <w:p w:rsidR="006013CA" w:rsidRPr="00EA7C8D" w:rsidRDefault="006013CA" w:rsidP="00EA7C8D">
      <w:pPr>
        <w:pStyle w:val="Heading3"/>
        <w:spacing w:before="0" w:after="240" w:line="240" w:lineRule="auto"/>
        <w:rPr>
          <w:b/>
          <w:sz w:val="24"/>
          <w:szCs w:val="24"/>
        </w:rPr>
      </w:pPr>
      <w:bookmarkStart w:id="14" w:name="_Toc356901590"/>
      <w:r w:rsidRPr="00EA7C8D">
        <w:rPr>
          <w:b/>
          <w:sz w:val="24"/>
          <w:szCs w:val="24"/>
        </w:rPr>
        <w:t>3.3</w:t>
      </w:r>
      <w:r w:rsidRPr="00EA7C8D">
        <w:rPr>
          <w:b/>
          <w:sz w:val="24"/>
          <w:szCs w:val="24"/>
        </w:rPr>
        <w:tab/>
        <w:t>Il ruolo della scuola nelle Aree Interne</w:t>
      </w:r>
      <w:bookmarkEnd w:id="14"/>
      <w:r w:rsidRPr="00EA7C8D">
        <w:rPr>
          <w:b/>
          <w:sz w:val="24"/>
          <w:szCs w:val="24"/>
        </w:rPr>
        <w:t xml:space="preserve"> </w:t>
      </w:r>
    </w:p>
    <w:p w:rsidR="006013CA" w:rsidRPr="007960B4" w:rsidRDefault="006013CA">
      <w:pPr>
        <w:spacing w:after="120" w:line="240" w:lineRule="auto"/>
        <w:rPr>
          <w:szCs w:val="28"/>
        </w:rPr>
      </w:pPr>
      <w:r w:rsidRPr="007960B4">
        <w:rPr>
          <w:szCs w:val="28"/>
        </w:rPr>
        <w:t>La scuola è presidio civile, sociale e culturale e luogo di elezione per la creazione di capitale umano. Perdendo la scuola il territorio è quasi naturalmente destinato all’abbandono e alla compromissione delle proprie capacità di sviluppo.</w:t>
      </w:r>
    </w:p>
    <w:p w:rsidR="006013CA" w:rsidRPr="007960B4" w:rsidRDefault="006013CA">
      <w:pPr>
        <w:spacing w:after="120" w:line="240" w:lineRule="auto"/>
        <w:rPr>
          <w:szCs w:val="28"/>
        </w:rPr>
      </w:pPr>
      <w:r w:rsidRPr="007960B4">
        <w:rPr>
          <w:szCs w:val="28"/>
        </w:rPr>
        <w:t xml:space="preserve">La scuola, come istituzione, dovrebbe assolvere essenzialmente a tre funzioni. La prima, fondamentale, è quella di “attrezzare” i giovani, e quindi di fornirgli una formazione adeguata che gli garantisca la libertà sostanziale, secondo Amartya Sen, di decidere se restare o andarsene. Non si creano le scuole per far rimanere gli studenti nei luoghi di nascita, ma piuttosto per renderli liberi di scegliere dove andare. La seconda funzione della scuola dovrebbe essere, poi, quella di fornire ai ragazzi gli strumenti per dare un senso, anche produttivo, a rimanere nella loro terra di nascita. Si tratta di una formazione mirata alle particolari attitudini e competenze che sono necessarie ai lavori a forte identità locale. La terza funzione della scuola dovrebbe, infine essere, quella di centro civico. </w:t>
      </w:r>
    </w:p>
    <w:p w:rsidR="006013CA" w:rsidRPr="007960B4" w:rsidRDefault="006013CA">
      <w:pPr>
        <w:spacing w:after="120" w:line="240" w:lineRule="auto"/>
        <w:rPr>
          <w:szCs w:val="28"/>
        </w:rPr>
      </w:pPr>
      <w:r w:rsidRPr="007960B4">
        <w:rPr>
          <w:szCs w:val="28"/>
        </w:rPr>
        <w:t>Nelle aree interne questo triplice ruolo della scuola è ancora più importante di quanto non lo sia nelle grandi città, in particolare per gli aspetti che concorrono ad intensificare i rapporti tra individui e territorio, tra comunità e luoghi di appartenenza e che possono creare un circolo virtuoso e produttivo tra potenzialità umane e ambientali. Tuttavia è proprio nelle aree interne che il rapporto tra scuola e territorio è più rarefatto. In questi territori dove il circolo vizioso tra abbandono del territorio e smobilitazione della scuola (nelle aree interne le scuole medie sono presenti nel 60 per cento dei comuni, mentre le scuole superiori solo nel 20 per cento</w:t>
      </w:r>
      <w:r w:rsidRPr="00A269F3">
        <w:rPr>
          <w:szCs w:val="28"/>
          <w:vertAlign w:val="superscript"/>
        </w:rPr>
        <w:footnoteReference w:id="17"/>
      </w:r>
      <w:r w:rsidRPr="007960B4">
        <w:rPr>
          <w:szCs w:val="28"/>
        </w:rPr>
        <w:t xml:space="preserve">) agisce da decenni, la situazione è aggravata dalle più accentuate situazioni di precariato del corpo docente, che a sua volta è frutto delle condizioni di marginalità in cui il territorio versa. Per coloro che rimangono, tali fattori creano le condizioni per minori rendimenti scolastici e – talora - per una più intensa dispersione scolastica. </w:t>
      </w:r>
    </w:p>
    <w:p w:rsidR="006013CA" w:rsidRPr="007960B4" w:rsidRDefault="006013CA">
      <w:pPr>
        <w:spacing w:after="120" w:line="240" w:lineRule="auto"/>
        <w:rPr>
          <w:szCs w:val="28"/>
        </w:rPr>
      </w:pPr>
      <w:r w:rsidRPr="007960B4">
        <w:rPr>
          <w:szCs w:val="28"/>
        </w:rPr>
        <w:t>Le prestazioni degli studenti delle aree interne sottoposti ai test Invalsi, sia in Italiano che in matematica, sono inferiori alla media nazionale praticamente a tutti i livelli scolastici</w:t>
      </w:r>
      <w:r w:rsidRPr="00A269F3">
        <w:rPr>
          <w:szCs w:val="28"/>
          <w:vertAlign w:val="superscript"/>
        </w:rPr>
        <w:footnoteReference w:id="18"/>
      </w:r>
      <w:r w:rsidRPr="007960B4">
        <w:rPr>
          <w:szCs w:val="28"/>
        </w:rPr>
        <w:t>. Sul fronte della dispersione scolastica si registra una forte polarizzazione nelle aree interne, specie nella scuola secondaria superiore. A fronte di molti Comuni (tra il 27 e il 37 per cento a seconda delle Regioni) nei quali la dispersione scolastica è zero, ci sono anche molti Comuni (tra il 6 e il 12 per cento) dove la dispersione è piuttosto alta, maggiore del 5 per cento</w:t>
      </w:r>
      <w:r w:rsidRPr="00EA7C8D">
        <w:rPr>
          <w:szCs w:val="28"/>
          <w:vertAlign w:val="superscript"/>
        </w:rPr>
        <w:footnoteReference w:id="19"/>
      </w:r>
      <w:r w:rsidRPr="007960B4">
        <w:rPr>
          <w:szCs w:val="28"/>
        </w:rPr>
        <w:t>.</w:t>
      </w:r>
    </w:p>
    <w:p w:rsidR="006013CA" w:rsidRPr="007960B4" w:rsidRDefault="006013CA">
      <w:pPr>
        <w:spacing w:after="120" w:line="240" w:lineRule="auto"/>
        <w:rPr>
          <w:szCs w:val="28"/>
        </w:rPr>
      </w:pPr>
      <w:r w:rsidRPr="007960B4">
        <w:rPr>
          <w:szCs w:val="28"/>
        </w:rPr>
        <w:t xml:space="preserve">Come recuperare appieno nelle aree interne il ruolo della scuola? Occorre agire sulla qualità dell’insegnamento e delle dotazioni, sia infrastrutturali che tecnologiche, ma è necessario anche disporre di strumenti di analisi e modelli di governance in grado di valorizzare le relazione scuola-territorio nelle due direzioni in cui questa può manifestarsi, dalla scuola al territorio e dal territorio alla scuola. </w:t>
      </w:r>
    </w:p>
    <w:p w:rsidR="006013CA" w:rsidRPr="007960B4" w:rsidRDefault="006013CA">
      <w:pPr>
        <w:spacing w:after="120" w:line="240" w:lineRule="auto"/>
        <w:rPr>
          <w:szCs w:val="28"/>
        </w:rPr>
      </w:pPr>
      <w:r w:rsidRPr="007960B4">
        <w:rPr>
          <w:szCs w:val="28"/>
        </w:rPr>
        <w:t>L’autonomia della scuola deve concretizzarsi in rapporto positivo con le esigenze delle comunità locali e queste devono riappropriarsi della capacità di programmare l’offerta formativa rispetto alle esigenze del territorio, pur rispettando gli standard educazionali e di apprendimento del Paese.</w:t>
      </w:r>
    </w:p>
    <w:p w:rsidR="006013CA" w:rsidRPr="007960B4" w:rsidRDefault="006013CA">
      <w:pPr>
        <w:spacing w:after="120" w:line="240" w:lineRule="auto"/>
        <w:rPr>
          <w:szCs w:val="28"/>
        </w:rPr>
      </w:pPr>
      <w:r w:rsidRPr="007960B4">
        <w:rPr>
          <w:szCs w:val="28"/>
        </w:rPr>
        <w:t xml:space="preserve">Il rapporto scuola-territorio appena delineato non si può ridurre ad atteggiamenti di conservazione dell’esistente. </w:t>
      </w:r>
      <w:r>
        <w:rPr>
          <w:szCs w:val="28"/>
        </w:rPr>
        <w:t>È</w:t>
      </w:r>
      <w:r w:rsidRPr="007960B4">
        <w:rPr>
          <w:szCs w:val="28"/>
        </w:rPr>
        <w:t xml:space="preserve"> necessario costruire un progetto di dimensionamento delle istituzioni scolastiche e di programmazione dell’offerta formativa, sostenuto da un’idea di sviluppo e valorizzazione del territorio, e di ribilanciamento cercando di compensare tra l’importanza che la presenza di una scuola riveste per una Comunità, e il diritto dei ragazzi ad avere Istituti capaci di mantenere standard elevati. Le regioni, nell’esercizio delle loro funzioni di programmazione dell’offerta formativa, possono svolgere un ruolo decisivo nella direzione prima indicata. In questa ottica le competenze previste dalla normativa non possono essere esercitate in una logica corporativa. I diversi livelli istituzionali devono concorrere a garantire i diritti di cui sono titolari gli studenti e realizzare, dopo averli condivisi, gli obiettivi definiti. </w:t>
      </w:r>
    </w:p>
    <w:p w:rsidR="006013CA" w:rsidRPr="007960B4" w:rsidRDefault="006013CA">
      <w:pPr>
        <w:spacing w:after="120" w:line="240" w:lineRule="auto"/>
        <w:rPr>
          <w:szCs w:val="28"/>
        </w:rPr>
      </w:pPr>
      <w:r w:rsidRPr="007960B4">
        <w:rPr>
          <w:szCs w:val="28"/>
        </w:rPr>
        <w:t>Concretamente, sono auspicabili le seguenti azioni:</w:t>
      </w:r>
    </w:p>
    <w:p w:rsidR="006013CA" w:rsidRPr="007960B4" w:rsidRDefault="006013CA">
      <w:pPr>
        <w:pStyle w:val="ListParagraph"/>
        <w:numPr>
          <w:ilvl w:val="0"/>
          <w:numId w:val="27"/>
        </w:numPr>
        <w:spacing w:after="120" w:line="240" w:lineRule="auto"/>
        <w:rPr>
          <w:szCs w:val="28"/>
        </w:rPr>
      </w:pPr>
      <w:r w:rsidRPr="007960B4">
        <w:rPr>
          <w:szCs w:val="28"/>
        </w:rPr>
        <w:t>La qualità dell’insegnamento è fondamentale per il rilancio delle aree interne ma essa è messa a dura prova dalla condizione di marginalità in cui esse versano e dalle conseguenti condizioni di precariato che spesso caratterizzano il corpo docente. Chi ha il compito di gestione del personale deve creare le condizioni per invertire queste tendenze, realizzando, se necessario, accordi che garantiscano al personale condizioni di stabilità di sede per un certo numero di anni in cambio di un impegno, un vincolo, a permanere per lo stesso numero di anni nelle aree interne o disagiate;</w:t>
      </w:r>
    </w:p>
    <w:p w:rsidR="006013CA" w:rsidRPr="007960B4" w:rsidRDefault="006013CA">
      <w:pPr>
        <w:pStyle w:val="ListParagraph"/>
        <w:numPr>
          <w:ilvl w:val="0"/>
          <w:numId w:val="27"/>
        </w:numPr>
        <w:spacing w:after="120" w:line="240" w:lineRule="auto"/>
        <w:rPr>
          <w:szCs w:val="28"/>
        </w:rPr>
      </w:pPr>
      <w:r w:rsidRPr="007960B4">
        <w:rPr>
          <w:szCs w:val="28"/>
        </w:rPr>
        <w:t xml:space="preserve">I giovani delle aree interne devono accedere alle stesse opportunità in termini di offerta scolastica che cui accedono i ragazzi che vivono nei centri maggiori. Vanno quindi ricercate le migliori soluzioni di ribilanciamento della presenza degli Istituti sui territori facendo leva e incentivando la cooperazione tra Comuni e garantendo al contempo servizi di trasporto pubblico locale efficienti e funzionali alla frequenza scolastica; </w:t>
      </w:r>
    </w:p>
    <w:p w:rsidR="006013CA" w:rsidRDefault="006013CA">
      <w:pPr>
        <w:pStyle w:val="ListParagraph"/>
        <w:numPr>
          <w:ilvl w:val="0"/>
          <w:numId w:val="27"/>
        </w:numPr>
        <w:spacing w:after="120" w:line="240" w:lineRule="auto"/>
        <w:rPr>
          <w:szCs w:val="28"/>
        </w:rPr>
      </w:pPr>
      <w:r w:rsidRPr="007960B4">
        <w:rPr>
          <w:szCs w:val="28"/>
        </w:rPr>
        <w:t>Occorre rilanciare un Patto tra Stato e Regioni (e studenti) delle aree interne, e costruire le condizioni per una leale e proficua collaborazione tra l’amministrazione scolastica (Ufficio scolastico regionale) e la Regione (livello politico e amministrativo), ponendo al centro le esigenze dei giovani. Le aree interne sono luoghi dove il patto, attraverso interventi intenzionali coordinati, può rappresentare una grande chance</w:t>
      </w:r>
      <w:r w:rsidRPr="00EA7C8D">
        <w:rPr>
          <w:szCs w:val="28"/>
          <w:vertAlign w:val="superscript"/>
        </w:rPr>
        <w:footnoteReference w:id="20"/>
      </w:r>
      <w:r w:rsidRPr="00074C6A">
        <w:rPr>
          <w:szCs w:val="28"/>
        </w:rPr>
        <w:t>;</w:t>
      </w:r>
    </w:p>
    <w:p w:rsidR="006013CA" w:rsidRPr="007960B4" w:rsidRDefault="006013CA">
      <w:pPr>
        <w:pStyle w:val="ListParagraph"/>
        <w:numPr>
          <w:ilvl w:val="0"/>
          <w:numId w:val="27"/>
        </w:numPr>
        <w:spacing w:after="120" w:line="240" w:lineRule="auto"/>
        <w:rPr>
          <w:szCs w:val="28"/>
        </w:rPr>
      </w:pPr>
      <w:r w:rsidRPr="007960B4">
        <w:rPr>
          <w:szCs w:val="28"/>
        </w:rPr>
        <w:t>La scuola, per esercitare la sua funzione di istituzione in grado di sviluppare il senso civico nelle nuove generazioni (si pensi alla cultura della legalità nelle aree caratterizzate da una forte presenza della criminalità organizzata) e più in generale per ricostruire il capitale sociale di un territorio, è necessario che si apra alle realtà sociali, economiche e culturali e riprenda un rapporto anche con gli adulti. Le scuole possono essere il luogo privilegiato per una scambio di conoscenze e competenze tipiche dei contesti di apprendimento formali con le competenze derivanti da esperienze legate ai contesti, ai mestieri e alle tradizioni locali. Si possono realizzare circuiti virtuosi per valorizzare la sapienza e la specificità di tradizioni tipiche e produzioni locali, con la possibilità di una loro rivisitazione e riproposizione in contesti storici completamente nuovi (caratterizzati, tra l’altro, da una presenza diffusa di nuove tecnologie con tutte le loro potenzialità).</w:t>
      </w:r>
    </w:p>
    <w:p w:rsidR="006013CA" w:rsidRPr="007960B4" w:rsidRDefault="006013CA" w:rsidP="00034E57">
      <w:pPr>
        <w:pStyle w:val="ListParagraph"/>
        <w:spacing w:after="120" w:line="240" w:lineRule="auto"/>
        <w:ind w:left="1080"/>
      </w:pPr>
    </w:p>
    <w:p w:rsidR="006013CA" w:rsidRPr="00EA7C8D" w:rsidRDefault="006013CA" w:rsidP="00EA7C8D">
      <w:pPr>
        <w:pStyle w:val="Heading3"/>
        <w:spacing w:before="0" w:after="240" w:line="240" w:lineRule="auto"/>
        <w:rPr>
          <w:b/>
          <w:sz w:val="24"/>
          <w:szCs w:val="24"/>
        </w:rPr>
      </w:pPr>
      <w:bookmarkStart w:id="15" w:name="_Toc356901591"/>
      <w:r w:rsidRPr="00EA7C8D">
        <w:rPr>
          <w:b/>
          <w:sz w:val="24"/>
          <w:szCs w:val="24"/>
        </w:rPr>
        <w:t>3.4</w:t>
      </w:r>
      <w:r w:rsidRPr="00EA7C8D">
        <w:rPr>
          <w:b/>
          <w:sz w:val="24"/>
          <w:szCs w:val="24"/>
        </w:rPr>
        <w:tab/>
        <w:t>La mobilità nelle e dalle Aree Interne</w:t>
      </w:r>
      <w:bookmarkEnd w:id="15"/>
    </w:p>
    <w:p w:rsidR="006013CA" w:rsidRPr="006E3F4A" w:rsidRDefault="006013CA">
      <w:pPr>
        <w:spacing w:after="120" w:line="240" w:lineRule="auto"/>
        <w:rPr>
          <w:szCs w:val="28"/>
        </w:rPr>
      </w:pPr>
      <w:r w:rsidRPr="006E3F4A">
        <w:rPr>
          <w:szCs w:val="28"/>
        </w:rPr>
        <w:t>Il criterio di “lontananza” (“remoteness”) dei territori e degli insediamenti abitativi dai centri urbani di offerta dei servizi essenziali costituisce l’elemento definitorio cruciale adottato nella costruzione concettuale del perimetro delle aree interne. La perifericità di queste ultime discende proprio dalla loro minore accessibilità ai servizi di cittadinanza: elaborazioni condotte dal Dipartimento mostrano che per raggiungere una struttura sanitaria dotata di un dipartimento di emergenza ed accettazione (cd. DEA) un cittadino residente in un area interna impiega mediamente un tempo più che triplo rispetto a un abitante di un polo centrale; il rapporto sale a quattro volte nel Mezzogiorno continentale</w:t>
      </w:r>
      <w:r w:rsidRPr="006E3F4A">
        <w:rPr>
          <w:szCs w:val="28"/>
          <w:vertAlign w:val="superscript"/>
        </w:rPr>
        <w:footnoteReference w:id="21"/>
      </w:r>
      <w:r w:rsidRPr="006E3F4A">
        <w:rPr>
          <w:szCs w:val="28"/>
        </w:rPr>
        <w:t>. Divari lievemente meno pronunciati caratterizzano la maggiore distanza relativa delle aree interne dai plessi scolastici, dove si osserva una più pronunciata variabilità regionale.</w:t>
      </w:r>
    </w:p>
    <w:p w:rsidR="006013CA" w:rsidRPr="006E3F4A" w:rsidRDefault="006013CA">
      <w:pPr>
        <w:spacing w:after="120" w:line="240" w:lineRule="auto"/>
        <w:rPr>
          <w:szCs w:val="28"/>
        </w:rPr>
      </w:pPr>
      <w:r w:rsidRPr="006E3F4A">
        <w:rPr>
          <w:szCs w:val="28"/>
        </w:rPr>
        <w:t>Affinché la perifericità non si tramuti in marginalità è dunque necessario accrescere l’accessibilità delle aree interne ai servizi di base che qualificano la nozione stessa di cittadinanza, istruzione e salute in primis. Questo risultato può essere raggiunto attraverso due diverse modalità di azione, fra loro evidentemente non esclusive: a) rafforzare e ripensare l’offerta di servizi in tali aree; b) migliorare la mobilità dalle aree e nelle aree, riducendo i tempi effettivi di spostamento per accedere ai servizi disponibili presso i poli.</w:t>
      </w:r>
    </w:p>
    <w:p w:rsidR="006013CA" w:rsidRPr="00A269F3" w:rsidRDefault="006013CA">
      <w:pPr>
        <w:spacing w:after="120" w:line="240" w:lineRule="auto"/>
        <w:rPr>
          <w:spacing w:val="-2"/>
          <w:szCs w:val="28"/>
        </w:rPr>
      </w:pPr>
      <w:r w:rsidRPr="00A269F3">
        <w:rPr>
          <w:spacing w:val="-2"/>
          <w:szCs w:val="28"/>
        </w:rPr>
        <w:t>In via di principio, la calibrazione fra le due alternative dovrà riflettere un’attenta valutazione dei costi e dei benefici riconducibili a ciascuna di esse. Ferma restando la loro collocazione paritaria come precondizioni per lo sviluppo, i servizi di mobilità differiscono da scuola e sanità in quanto rispetto a questi ultimi svolgono una funzione servente: mentre i secondi presuppongono quasi inevitabilmente la coincidenza fra luogo di fornitura e luogo di fruizione, i primi implicano una relazione spaziale, definita dall’origine e dalla destinazione degli spostamenti. Le ragioni di questi ultimi includono di norma l’avvicinamento al luogo di fornitura-fruizione dei servizi sociali.</w:t>
      </w:r>
    </w:p>
    <w:p w:rsidR="006013CA" w:rsidRPr="006E3F4A" w:rsidRDefault="006013CA">
      <w:pPr>
        <w:spacing w:after="120" w:line="240" w:lineRule="auto"/>
        <w:rPr>
          <w:szCs w:val="28"/>
        </w:rPr>
      </w:pPr>
      <w:r w:rsidRPr="006E3F4A">
        <w:rPr>
          <w:szCs w:val="28"/>
        </w:rPr>
        <w:t xml:space="preserve">Per quanto riguarda le azioni per la mobilità, la valutazione preventiva di interventi di potenziamento dell’offerta di mobilità dovrebbe di regola contrapporre il beneficio derivante dalla maggiore prossimità ai servizi di cittadinanza con i costi che inevitabilmente ne conseguono, primariamente in termini dei connessi impatti ambientali. Stante la fragilità degli ecosistemi che tipicamente connotano le aree interne, tale </w:t>
      </w:r>
      <w:r w:rsidRPr="006E3F4A">
        <w:rPr>
          <w:i/>
          <w:szCs w:val="28"/>
        </w:rPr>
        <w:t>trade off</w:t>
      </w:r>
      <w:r w:rsidRPr="006E3F4A">
        <w:rPr>
          <w:szCs w:val="28"/>
        </w:rPr>
        <w:t xml:space="preserve"> acquisisce qui particolare rilevanza. D’altro canto, gli straordinari progressi ottenuti</w:t>
      </w:r>
      <w:r w:rsidRPr="004B43BD">
        <w:rPr>
          <w:sz w:val="24"/>
          <w:szCs w:val="24"/>
        </w:rPr>
        <w:t xml:space="preserve"> </w:t>
      </w:r>
      <w:r w:rsidRPr="006E3F4A">
        <w:rPr>
          <w:szCs w:val="28"/>
        </w:rPr>
        <w:t>nelle tecnologie telematiche di istruzione a distanza e di telemedicina possono solo mitigare, ma non ancora del tutto azzerare, questa contrapposizione</w:t>
      </w:r>
      <w:r w:rsidRPr="006E3F4A">
        <w:rPr>
          <w:i/>
          <w:szCs w:val="28"/>
        </w:rPr>
        <w:t>,</w:t>
      </w:r>
      <w:r w:rsidRPr="006E3F4A">
        <w:rPr>
          <w:szCs w:val="28"/>
        </w:rPr>
        <w:t xml:space="preserve"> su cui incide l’essenzialità delle relazioni interpersonali fra operatori sanitari e pazienti, fra formatori e studenti.</w:t>
      </w:r>
    </w:p>
    <w:p w:rsidR="006013CA" w:rsidRPr="006E3F4A" w:rsidRDefault="006013CA">
      <w:pPr>
        <w:spacing w:after="120" w:line="240" w:lineRule="auto"/>
        <w:rPr>
          <w:szCs w:val="28"/>
        </w:rPr>
      </w:pPr>
      <w:r w:rsidRPr="006E3F4A">
        <w:rPr>
          <w:szCs w:val="28"/>
        </w:rPr>
        <w:t>Due elementi aggiuntivi connotano la domanda di mobilità nelle aree interne. Primo, essa presenta la caratteristica di rivolgersi ai movimenti di merci oltre che di persone. Secondo, occorre tenere presente la distinzione fra mobilità interna a ciascun area e fra aree contigue e mobilità da e per le aree interne (avente cioè origine o destinazione in un polo centripeto).</w:t>
      </w:r>
    </w:p>
    <w:p w:rsidR="006013CA" w:rsidRPr="006E3F4A" w:rsidRDefault="006013CA">
      <w:pPr>
        <w:spacing w:after="120" w:line="240" w:lineRule="auto"/>
        <w:rPr>
          <w:szCs w:val="28"/>
        </w:rPr>
      </w:pPr>
      <w:r w:rsidRPr="006E3F4A">
        <w:rPr>
          <w:szCs w:val="28"/>
        </w:rPr>
        <w:t>Queste considerazioni preliminari consentono di enunciare quattro principi di base utili ad orientare la definizione di una strategia per la mobilità per le aree interne, anche in vista dei successivi confronti con i portatori di interesse.</w:t>
      </w:r>
    </w:p>
    <w:p w:rsidR="006013CA" w:rsidRPr="006E3F4A" w:rsidRDefault="006013CA">
      <w:pPr>
        <w:spacing w:after="120" w:line="240" w:lineRule="auto"/>
        <w:rPr>
          <w:szCs w:val="28"/>
        </w:rPr>
      </w:pPr>
      <w:r w:rsidRPr="006E3F4A">
        <w:rPr>
          <w:szCs w:val="28"/>
        </w:rPr>
        <w:t xml:space="preserve">Primo criterio generale è la </w:t>
      </w:r>
      <w:r w:rsidRPr="006E3F4A">
        <w:rPr>
          <w:b/>
          <w:szCs w:val="28"/>
        </w:rPr>
        <w:t>sostenibilità ambientale degli interventi</w:t>
      </w:r>
      <w:r w:rsidRPr="006E3F4A">
        <w:rPr>
          <w:szCs w:val="28"/>
        </w:rPr>
        <w:t xml:space="preserve">. Una strategia per la mobilità nelle aree interne capace di massimizzare i benefici allocativi deve privilegiare azioni finalizzate a strutture esistenti: occorre pertanto assegnare priorità agli investimenti </w:t>
      </w:r>
      <w:r w:rsidRPr="006E3F4A">
        <w:rPr>
          <w:i/>
          <w:szCs w:val="28"/>
        </w:rPr>
        <w:t>brownfield</w:t>
      </w:r>
      <w:r w:rsidRPr="006E3F4A">
        <w:rPr>
          <w:szCs w:val="28"/>
        </w:rPr>
        <w:t xml:space="preserve"> rispetto ai </w:t>
      </w:r>
      <w:r w:rsidRPr="006E3F4A">
        <w:rPr>
          <w:i/>
          <w:szCs w:val="28"/>
        </w:rPr>
        <w:t>greenfield</w:t>
      </w:r>
      <w:r w:rsidRPr="006E3F4A">
        <w:rPr>
          <w:szCs w:val="28"/>
        </w:rPr>
        <w:t>, migliorare la manutenzione conservativa e la messa in sicurezza delle infrastrutture di collegamento, ottimizzare, rendendoli più flessibili, i servizi di trasporto per accrescerne la rispondenza alla domanda.</w:t>
      </w:r>
    </w:p>
    <w:p w:rsidR="006013CA" w:rsidRPr="006E3F4A" w:rsidRDefault="006013CA">
      <w:pPr>
        <w:spacing w:after="120" w:line="240" w:lineRule="auto"/>
        <w:rPr>
          <w:szCs w:val="28"/>
        </w:rPr>
      </w:pPr>
      <w:r w:rsidRPr="006E3F4A">
        <w:rPr>
          <w:szCs w:val="28"/>
        </w:rPr>
        <w:t xml:space="preserve">Tale orientamento prudenziale è del resto coerente con la consolidata difficoltà di convertire, aggregandola, la domanda per spostamenti individuali in domanda collettiva in aree caratterizzate da elevata dispersione insediativa. Il trasporto collettivo di massa in zone scarsamente popolate comporta costi fissi e variabili insostenibili per i livelli di domanda che esso è credibilmente in grado di intercettare. Tariffazione integrata, servizi </w:t>
      </w:r>
      <w:r w:rsidRPr="006E3F4A">
        <w:rPr>
          <w:i/>
          <w:szCs w:val="28"/>
        </w:rPr>
        <w:t>on demand</w:t>
      </w:r>
      <w:r w:rsidRPr="006E3F4A">
        <w:rPr>
          <w:szCs w:val="28"/>
        </w:rPr>
        <w:t xml:space="preserve">, infomobilità ed altre applicazioni ITS, riqualificazione di itinerari dismessi o poco utilizzati che raggiungono territori con elevato potenziale turistico e paesaggistico costituiscono alcune significative declinazioni di </w:t>
      </w:r>
      <w:r w:rsidRPr="006E3F4A">
        <w:rPr>
          <w:b/>
          <w:szCs w:val="28"/>
        </w:rPr>
        <w:t>interventi flessibili</w:t>
      </w:r>
      <w:r w:rsidRPr="006E3F4A">
        <w:rPr>
          <w:szCs w:val="28"/>
        </w:rPr>
        <w:t>.</w:t>
      </w:r>
    </w:p>
    <w:p w:rsidR="006013CA" w:rsidRPr="006E3F4A" w:rsidRDefault="006013CA">
      <w:pPr>
        <w:spacing w:after="120" w:line="240" w:lineRule="auto"/>
        <w:rPr>
          <w:szCs w:val="28"/>
        </w:rPr>
      </w:pPr>
      <w:r w:rsidRPr="006E3F4A">
        <w:rPr>
          <w:szCs w:val="28"/>
        </w:rPr>
        <w:t xml:space="preserve">Il secondo criterio rimanda all’esigenza di </w:t>
      </w:r>
      <w:r w:rsidRPr="006E3F4A">
        <w:rPr>
          <w:b/>
          <w:szCs w:val="28"/>
        </w:rPr>
        <w:t>un forte coordinamento fra programmazione territoriale e pianificazione trasportistica</w:t>
      </w:r>
      <w:r w:rsidRPr="006E3F4A">
        <w:rPr>
          <w:szCs w:val="28"/>
        </w:rPr>
        <w:t>. La coerenza fra queste due fasi dell’azione di governo dei decisori locali deve riguardare sia i contenuti programmatici, sia la loro sincronia temporale, per evitare che la seconda sia costretta ad inseguire la prima in condizioni emergenziali, prefigurando soluzioni spesso finanziariamente insostenibili.</w:t>
      </w:r>
    </w:p>
    <w:p w:rsidR="006013CA" w:rsidRPr="006E3F4A" w:rsidRDefault="006013CA">
      <w:pPr>
        <w:spacing w:after="120" w:line="240" w:lineRule="auto"/>
        <w:rPr>
          <w:szCs w:val="28"/>
        </w:rPr>
      </w:pPr>
      <w:r w:rsidRPr="006E3F4A">
        <w:rPr>
          <w:szCs w:val="28"/>
        </w:rPr>
        <w:t>Questa sinergia, che è da ritenere propedeutica alla definizione degli interventi, dovrà fondarsi: a) da un lato, sull’enucleazione delle criticità del trasporto pubblico ordinario sugli spostamenti che originano dalle aree interne verso i poli urbani per ragioni di lavoro, studio o di accesso ai servizi; b) dall’altro sull’identificazione delle cause principali dei costi sociali derivanti dalla mancata attivazione di meccanismi flessibili nella gestione dei trasporti collettivi nelle aree a domanda debole. Queste indicazioni sottolineano il terzo criterio di indirizzo: l’</w:t>
      </w:r>
      <w:r w:rsidRPr="006E3F4A">
        <w:rPr>
          <w:b/>
          <w:szCs w:val="28"/>
        </w:rPr>
        <w:t>analisi della domanda di spostamenti</w:t>
      </w:r>
      <w:r w:rsidRPr="006E3F4A">
        <w:rPr>
          <w:szCs w:val="28"/>
        </w:rPr>
        <w:t xml:space="preserve"> – per dati prezzi di offerta del servizio – e, conseguentemente, la valutazione dei fabbisogni come passo propedeutico tassativo alla strategia d’intervento sulla mobilità nelle aree interne. </w:t>
      </w:r>
    </w:p>
    <w:p w:rsidR="006013CA" w:rsidRPr="006E3F4A" w:rsidRDefault="006013CA">
      <w:pPr>
        <w:spacing w:after="120" w:line="240" w:lineRule="auto"/>
        <w:rPr>
          <w:szCs w:val="28"/>
        </w:rPr>
      </w:pPr>
      <w:r w:rsidRPr="006E3F4A">
        <w:rPr>
          <w:szCs w:val="28"/>
        </w:rPr>
        <w:t xml:space="preserve">Il quarto ed ultimo criterio consiste nel privilegiare, ove possibile ed economicamente fattibile, il consolidamento di sperimentazioni avviate ed operative, che abbiano dato prova di buoni risultati: in termini di </w:t>
      </w:r>
      <w:r w:rsidRPr="006E3F4A">
        <w:rPr>
          <w:b/>
          <w:i/>
          <w:szCs w:val="28"/>
        </w:rPr>
        <w:t>shift</w:t>
      </w:r>
      <w:r w:rsidRPr="006E3F4A">
        <w:rPr>
          <w:b/>
          <w:szCs w:val="28"/>
        </w:rPr>
        <w:t xml:space="preserve"> modale verso il trasporto collettivo</w:t>
      </w:r>
      <w:r w:rsidRPr="006E3F4A">
        <w:rPr>
          <w:szCs w:val="28"/>
        </w:rPr>
        <w:t xml:space="preserve"> o, </w:t>
      </w:r>
      <w:r w:rsidRPr="006E3F4A">
        <w:rPr>
          <w:i/>
          <w:szCs w:val="28"/>
        </w:rPr>
        <w:t>a</w:t>
      </w:r>
      <w:r w:rsidRPr="006E3F4A">
        <w:rPr>
          <w:szCs w:val="28"/>
        </w:rPr>
        <w:t xml:space="preserve"> </w:t>
      </w:r>
      <w:r w:rsidRPr="006E3F4A">
        <w:rPr>
          <w:i/>
          <w:szCs w:val="28"/>
        </w:rPr>
        <w:t>fortiori</w:t>
      </w:r>
      <w:r w:rsidRPr="006E3F4A">
        <w:rPr>
          <w:szCs w:val="28"/>
        </w:rPr>
        <w:t>, di creazione di domanda aggiuntiva, minimizzazione del contributo pubblico e innovazione tecnologica. Alcuni esempi di interventi che condividono tali profili sono rinvenibili nei territori, in particolare per impulso delle Province che gestiscono su delega regionale la mobilità in area vasta</w:t>
      </w:r>
      <w:r w:rsidRPr="006E3F4A">
        <w:rPr>
          <w:szCs w:val="28"/>
          <w:vertAlign w:val="superscript"/>
        </w:rPr>
        <w:footnoteReference w:id="22"/>
      </w:r>
      <w:r w:rsidRPr="006E3F4A">
        <w:rPr>
          <w:szCs w:val="28"/>
        </w:rPr>
        <w:t>.</w:t>
      </w:r>
    </w:p>
    <w:p w:rsidR="006013CA" w:rsidRPr="006E3F4A" w:rsidRDefault="006013CA">
      <w:pPr>
        <w:spacing w:after="120" w:line="240" w:lineRule="auto"/>
        <w:rPr>
          <w:szCs w:val="28"/>
        </w:rPr>
      </w:pPr>
      <w:r w:rsidRPr="006E3F4A">
        <w:rPr>
          <w:szCs w:val="28"/>
        </w:rPr>
        <w:t>Se il conseguimento di adeguate condizioni di mobilità costituisce primariamente un pre-requisito per lo sviluppo dei territori “marginali”, esso può essere allo stesso tempo una leva di impulso per la crescita locale. Proporre soluzioni innovative, sia tecnologiche (propulsioni e architetture di rete), sia gestionali (servizi integrati di trasporto ad offerta flessibile), rappresenta una sfida rilevante per le politiche di sviluppo locale.</w:t>
      </w:r>
    </w:p>
    <w:p w:rsidR="006013CA" w:rsidRDefault="006013CA" w:rsidP="004B43BD">
      <w:pPr>
        <w:rPr>
          <w:sz w:val="24"/>
          <w:szCs w:val="24"/>
        </w:rPr>
      </w:pPr>
    </w:p>
    <w:p w:rsidR="006013CA" w:rsidRPr="004B43BD" w:rsidRDefault="006013CA" w:rsidP="004B43BD">
      <w:pPr>
        <w:rPr>
          <w:sz w:val="24"/>
          <w:szCs w:val="24"/>
        </w:rPr>
      </w:pPr>
    </w:p>
    <w:p w:rsidR="006013CA" w:rsidRDefault="006013CA">
      <w:pPr>
        <w:spacing w:after="0" w:line="240" w:lineRule="auto"/>
        <w:rPr>
          <w:b/>
          <w:bCs/>
          <w:szCs w:val="28"/>
          <w:lang w:eastAsia="it-IT"/>
        </w:rPr>
      </w:pPr>
      <w:r>
        <w:rPr>
          <w:lang w:eastAsia="it-IT"/>
        </w:rPr>
        <w:br w:type="page"/>
      </w:r>
    </w:p>
    <w:p w:rsidR="006013CA" w:rsidRPr="00EA7C8D" w:rsidRDefault="006013CA" w:rsidP="00EA7C8D">
      <w:pPr>
        <w:pStyle w:val="Heading2"/>
        <w:spacing w:before="0" w:after="360" w:line="240" w:lineRule="auto"/>
        <w:ind w:left="709" w:hanging="709"/>
        <w:rPr>
          <w:rFonts w:ascii="Garamond" w:hAnsi="Garamond"/>
        </w:rPr>
      </w:pPr>
      <w:bookmarkStart w:id="16" w:name="_Toc356901592"/>
      <w:r w:rsidRPr="00EA7C8D">
        <w:rPr>
          <w:rFonts w:ascii="Garamond" w:hAnsi="Garamond"/>
        </w:rPr>
        <w:t xml:space="preserve">4. </w:t>
      </w:r>
      <w:r>
        <w:rPr>
          <w:rFonts w:ascii="Garamond" w:hAnsi="Garamond"/>
        </w:rPr>
        <w:tab/>
      </w:r>
      <w:r w:rsidRPr="00EA7C8D">
        <w:rPr>
          <w:rFonts w:ascii="Garamond" w:hAnsi="Garamond"/>
        </w:rPr>
        <w:t>Progettare lo sviluppo locale</w:t>
      </w:r>
      <w:bookmarkEnd w:id="16"/>
      <w:r w:rsidRPr="00EA7C8D">
        <w:rPr>
          <w:rFonts w:ascii="Garamond" w:hAnsi="Garamond"/>
        </w:rPr>
        <w:t xml:space="preserve"> </w:t>
      </w:r>
    </w:p>
    <w:p w:rsidR="006013CA" w:rsidRPr="00EA7C8D" w:rsidRDefault="006013CA" w:rsidP="00EA7C8D">
      <w:pPr>
        <w:pStyle w:val="Heading3"/>
        <w:spacing w:before="0" w:after="240" w:line="240" w:lineRule="auto"/>
        <w:rPr>
          <w:b/>
          <w:sz w:val="24"/>
          <w:szCs w:val="24"/>
        </w:rPr>
      </w:pPr>
      <w:bookmarkStart w:id="17" w:name="_Toc356901593"/>
      <w:r w:rsidRPr="00EA7C8D">
        <w:rPr>
          <w:b/>
          <w:sz w:val="24"/>
          <w:szCs w:val="24"/>
        </w:rPr>
        <w:t xml:space="preserve">4.1 </w:t>
      </w:r>
      <w:r>
        <w:rPr>
          <w:b/>
          <w:sz w:val="24"/>
          <w:szCs w:val="24"/>
        </w:rPr>
        <w:tab/>
      </w:r>
      <w:r w:rsidRPr="00EA7C8D">
        <w:rPr>
          <w:b/>
          <w:sz w:val="24"/>
          <w:szCs w:val="24"/>
        </w:rPr>
        <w:t>Premessa</w:t>
      </w:r>
      <w:bookmarkEnd w:id="17"/>
    </w:p>
    <w:p w:rsidR="006013CA" w:rsidRPr="00AF36DE" w:rsidRDefault="006013CA">
      <w:pPr>
        <w:spacing w:after="120" w:line="240" w:lineRule="auto"/>
        <w:rPr>
          <w:szCs w:val="28"/>
        </w:rPr>
      </w:pPr>
      <w:r w:rsidRPr="00AF36DE">
        <w:rPr>
          <w:szCs w:val="28"/>
        </w:rPr>
        <w:t>Perché la strategia Aree Interne possa tradursi in interventi capaci di innescare processi di sviluppo – ci si deve chiedere in cosa consiste la “Domanda” su cui puntare. “Da dove verrà la domanda in grado di generare i processi di sviluppo desiderati?”. I bacini di questa domanda vanno ricercati nella “diversità” insita nelle caratteristiche delle Aree Interne, e nei processi di differenziazione in corso nelle tendenze dei consumatori.</w:t>
      </w:r>
    </w:p>
    <w:p w:rsidR="006013CA" w:rsidRPr="00AF36DE" w:rsidRDefault="006013CA">
      <w:pPr>
        <w:spacing w:after="120" w:line="240" w:lineRule="auto"/>
        <w:rPr>
          <w:szCs w:val="28"/>
        </w:rPr>
      </w:pPr>
      <w:r w:rsidRPr="00AF36DE">
        <w:rPr>
          <w:szCs w:val="28"/>
        </w:rPr>
        <w:t>Ciascuna Area Interna offre una diversità di qualche tipo: di stile vita, di aria, di alimentazione, di relazioni umane, di natura. Siamo in una fase nella quale c’è una forte domanda di specificità secondo la vecchia teoria dei consumi di Lancaster secondo la quale con l’aumentare della</w:t>
      </w:r>
      <w:r>
        <w:rPr>
          <w:szCs w:val="28"/>
        </w:rPr>
        <w:t xml:space="preserve"> </w:t>
      </w:r>
      <w:r w:rsidRPr="00AF36DE">
        <w:rPr>
          <w:szCs w:val="28"/>
        </w:rPr>
        <w:t>prosperità,</w:t>
      </w:r>
      <w:r>
        <w:rPr>
          <w:szCs w:val="28"/>
        </w:rPr>
        <w:t xml:space="preserve"> </w:t>
      </w:r>
      <w:r w:rsidRPr="00AF36DE">
        <w:rPr>
          <w:szCs w:val="28"/>
        </w:rPr>
        <w:t>gli individui chiedono sempre più non ‘il’ pomodoro ma “quel tipo di pomodoro”. Lo stesso vale per ogni bene di consumo. Un certo numero di ragioni sta facendo sì che le preferenze stiano tornando a essere molto diversificate, anche se non viviamo in una fase di prosperità. Quando consumiamo, vogliamo anche capire dove è stato prodotto ciò che consumiamo, qual è il simbolismo associato al prodotto, se è stato sfruttato lavoro minorile nel produrlo, se il prodotto ha viaggiato per moltissimi chilometri consumando, dunque, energia e risorse.</w:t>
      </w:r>
    </w:p>
    <w:p w:rsidR="006013CA" w:rsidRPr="00AF36DE" w:rsidRDefault="006013CA">
      <w:pPr>
        <w:spacing w:after="120" w:line="240" w:lineRule="auto"/>
        <w:rPr>
          <w:szCs w:val="28"/>
        </w:rPr>
      </w:pPr>
      <w:r w:rsidRPr="00AF36DE">
        <w:rPr>
          <w:szCs w:val="28"/>
        </w:rPr>
        <w:t>L’intervento per innescare processi di sviluppo nelle Aree Interne va focalizzato dunque su tali “specificità”, su fattori latenti di sviluppo e su temi catalizzatori e di grande rilevanza, legati anche (ma non solo) alle consistenti potenzialità di risorse nascoste che esistono in queste aree. Punti focali su cui concentrare gli sforzi in modo da ottenere risultati visibili e misurabili, in tempi non eccessivamente lunghi, grazie ad uno sforzo congiunto di risorse umane disponibili e di fondi.</w:t>
      </w:r>
    </w:p>
    <w:p w:rsidR="006013CA" w:rsidRPr="00AF36DE" w:rsidRDefault="006013CA">
      <w:pPr>
        <w:spacing w:after="120" w:line="240" w:lineRule="auto"/>
        <w:rPr>
          <w:szCs w:val="28"/>
        </w:rPr>
      </w:pPr>
      <w:r w:rsidRPr="00AF36DE">
        <w:rPr>
          <w:szCs w:val="28"/>
        </w:rPr>
        <w:t>La doppia anima della strategia Aree Interne – che punta alla valorizzazione delle risorse esistenti nelle aree in un’ottica di sviluppo, concorrendo allo stesso tempo anche ad un obiettivo di sostenibilità e di tutela del territorio, fa sì che i punti focali siano alcuni, e non altri (auto-selezione):</w:t>
      </w:r>
    </w:p>
    <w:p w:rsidR="006013CA" w:rsidRPr="00AF36DE" w:rsidRDefault="006013CA" w:rsidP="00034E57">
      <w:pPr>
        <w:numPr>
          <w:ilvl w:val="0"/>
          <w:numId w:val="23"/>
        </w:numPr>
        <w:spacing w:after="120" w:line="240" w:lineRule="auto"/>
        <w:ind w:left="851" w:hanging="425"/>
        <w:rPr>
          <w:szCs w:val="28"/>
        </w:rPr>
      </w:pPr>
      <w:r w:rsidRPr="00AF36DE">
        <w:rPr>
          <w:szCs w:val="28"/>
        </w:rPr>
        <w:t>Tutela del Territorio e Comunità Locali;</w:t>
      </w:r>
    </w:p>
    <w:p w:rsidR="006013CA" w:rsidRPr="00AF36DE" w:rsidRDefault="006013CA" w:rsidP="00034E57">
      <w:pPr>
        <w:numPr>
          <w:ilvl w:val="0"/>
          <w:numId w:val="23"/>
        </w:numPr>
        <w:spacing w:after="120" w:line="240" w:lineRule="auto"/>
        <w:ind w:left="851" w:hanging="425"/>
        <w:rPr>
          <w:szCs w:val="28"/>
        </w:rPr>
      </w:pPr>
      <w:r w:rsidRPr="00AF36DE">
        <w:rPr>
          <w:szCs w:val="28"/>
        </w:rPr>
        <w:t>Valorizzazione delle risorse naturali, culturali e del turismo sostenibile;</w:t>
      </w:r>
    </w:p>
    <w:p w:rsidR="006013CA" w:rsidRPr="00AF36DE" w:rsidRDefault="006013CA" w:rsidP="00034E57">
      <w:pPr>
        <w:numPr>
          <w:ilvl w:val="0"/>
          <w:numId w:val="23"/>
        </w:numPr>
        <w:spacing w:after="120" w:line="240" w:lineRule="auto"/>
        <w:ind w:left="851" w:hanging="425"/>
        <w:rPr>
          <w:szCs w:val="28"/>
        </w:rPr>
      </w:pPr>
      <w:r w:rsidRPr="00AF36DE">
        <w:rPr>
          <w:szCs w:val="28"/>
        </w:rPr>
        <w:t>Sistemi Agro-Alimentari e Sviluppo Locale;</w:t>
      </w:r>
    </w:p>
    <w:p w:rsidR="006013CA" w:rsidRPr="00AF36DE" w:rsidRDefault="006013CA" w:rsidP="00034E57">
      <w:pPr>
        <w:numPr>
          <w:ilvl w:val="0"/>
          <w:numId w:val="23"/>
        </w:numPr>
        <w:spacing w:after="120" w:line="240" w:lineRule="auto"/>
        <w:ind w:left="851" w:hanging="425"/>
        <w:rPr>
          <w:szCs w:val="28"/>
        </w:rPr>
      </w:pPr>
      <w:r w:rsidRPr="00AF36DE">
        <w:rPr>
          <w:szCs w:val="28"/>
        </w:rPr>
        <w:t>Risparmio energetico e filiere locali di energia rinnovabile;</w:t>
      </w:r>
    </w:p>
    <w:p w:rsidR="006013CA" w:rsidRPr="00AF36DE" w:rsidRDefault="006013CA" w:rsidP="00034E57">
      <w:pPr>
        <w:numPr>
          <w:ilvl w:val="0"/>
          <w:numId w:val="23"/>
        </w:numPr>
        <w:spacing w:after="120" w:line="240" w:lineRule="auto"/>
        <w:ind w:left="851" w:hanging="425"/>
        <w:rPr>
          <w:szCs w:val="28"/>
        </w:rPr>
      </w:pPr>
      <w:r w:rsidRPr="00AF36DE">
        <w:rPr>
          <w:szCs w:val="28"/>
        </w:rPr>
        <w:t>Saper fare e artigianato.</w:t>
      </w:r>
    </w:p>
    <w:p w:rsidR="006013CA" w:rsidRPr="00EA7C8D" w:rsidRDefault="006013CA" w:rsidP="00EA7C8D">
      <w:pPr>
        <w:pStyle w:val="Heading3"/>
        <w:spacing w:before="0" w:after="240" w:line="240" w:lineRule="auto"/>
        <w:rPr>
          <w:b/>
          <w:sz w:val="24"/>
          <w:szCs w:val="24"/>
        </w:rPr>
      </w:pPr>
      <w:bookmarkStart w:id="18" w:name="_Toc356901594"/>
      <w:r w:rsidRPr="00EA7C8D">
        <w:rPr>
          <w:b/>
          <w:sz w:val="24"/>
          <w:szCs w:val="24"/>
        </w:rPr>
        <w:t>4.2</w:t>
      </w:r>
      <w:r w:rsidRPr="00EA7C8D">
        <w:rPr>
          <w:b/>
          <w:sz w:val="24"/>
          <w:szCs w:val="24"/>
        </w:rPr>
        <w:tab/>
        <w:t>Tutela Attiva del Territorio e Comunità Locali</w:t>
      </w:r>
      <w:bookmarkEnd w:id="18"/>
    </w:p>
    <w:p w:rsidR="006013CA" w:rsidRPr="00AF36DE" w:rsidRDefault="006013CA">
      <w:pPr>
        <w:spacing w:after="120" w:line="240" w:lineRule="auto"/>
        <w:rPr>
          <w:szCs w:val="28"/>
        </w:rPr>
      </w:pPr>
      <w:r w:rsidRPr="00AF36DE">
        <w:rPr>
          <w:szCs w:val="28"/>
        </w:rPr>
        <w:t>La tutela del territorio delle Aree Interne è oggi inadeguata. Il termine di tutela – insieme a quello di conservazione – è stato usato diffusamente in senso vincolistico, piuttosto che declinato nel senso di “</w:t>
      </w:r>
      <w:r w:rsidRPr="00AF36DE">
        <w:rPr>
          <w:b/>
          <w:szCs w:val="28"/>
        </w:rPr>
        <w:t>cura delle risorse territoriali</w:t>
      </w:r>
      <w:r w:rsidRPr="00AF36DE">
        <w:rPr>
          <w:szCs w:val="28"/>
        </w:rPr>
        <w:t>”. Inoltre spesso si dimentica che attraverso la tutela passa la “sicurezza del territorio”, anch’essa precondizione – insieme ai servizi di base – per contrastare i fenomeni di abbandono e di declino demografico e rilanciare processi di sviluppo (vedere Box Tutela del territorio).</w:t>
      </w:r>
    </w:p>
    <w:p w:rsidR="006013CA" w:rsidRPr="00AF36DE" w:rsidRDefault="006013CA">
      <w:pPr>
        <w:spacing w:after="120" w:line="240" w:lineRule="auto"/>
        <w:rPr>
          <w:szCs w:val="28"/>
        </w:rPr>
      </w:pPr>
      <w:r w:rsidRPr="00AF36DE">
        <w:rPr>
          <w:szCs w:val="28"/>
        </w:rPr>
        <w:t xml:space="preserve">La messa in sicurezza diventa efficiente e possibile solo quando viene effettuata o promossa o supportata da una </w:t>
      </w:r>
      <w:r w:rsidRPr="00AF36DE">
        <w:rPr>
          <w:b/>
          <w:szCs w:val="28"/>
        </w:rPr>
        <w:t>popolazione residente nel territorio</w:t>
      </w:r>
      <w:r w:rsidRPr="00AF36DE">
        <w:rPr>
          <w:szCs w:val="28"/>
        </w:rPr>
        <w:t>, che sia capace di rappresentare gli interessi collettivi e possa divenire “custode del territorio” stesso, adottando in prima persona comportamenti proattivi e realizzando “azioni quotidiane” anziché grandi interventi sporadici. Sarà questa popolazione a disporre delle conoscenze necessarie per l’intervento e ad avere gli incentivi per agire e anche per trarne vantaggi.</w:t>
      </w:r>
    </w:p>
    <w:p w:rsidR="006013CA" w:rsidRPr="00AF36DE" w:rsidRDefault="006013CA">
      <w:pPr>
        <w:spacing w:after="120" w:line="240" w:lineRule="auto"/>
        <w:rPr>
          <w:szCs w:val="28"/>
        </w:rPr>
      </w:pPr>
      <w:r w:rsidRPr="00AF36DE">
        <w:rPr>
          <w:szCs w:val="28"/>
        </w:rPr>
        <w:t>Per restituire la tutela del territorio alle comunità locali – e trasformare la tutela stessa in processi produttivi e capaci di creare sviluppo - occorre ridefinire questo concetto individuando alcune parole-chiave:</w:t>
      </w:r>
    </w:p>
    <w:p w:rsidR="006013CA" w:rsidRPr="00AF36DE" w:rsidRDefault="006013CA">
      <w:pPr>
        <w:spacing w:after="120" w:line="240" w:lineRule="auto"/>
        <w:rPr>
          <w:szCs w:val="28"/>
        </w:rPr>
      </w:pPr>
      <w:r w:rsidRPr="00AF36DE">
        <w:rPr>
          <w:i/>
          <w:szCs w:val="28"/>
        </w:rPr>
        <w:t xml:space="preserve">Manutenzione </w:t>
      </w:r>
      <w:r w:rsidRPr="00AF36DE">
        <w:rPr>
          <w:szCs w:val="28"/>
        </w:rPr>
        <w:t>del capitale naturale, ossia delle risorse naturali presenti sul territorio e dei processi che le generano. Tali processi possono essere sia “naturali”, sia dovuti all’azione dell’uomo (capitale sociale);</w:t>
      </w:r>
    </w:p>
    <w:p w:rsidR="006013CA" w:rsidRPr="00AF36DE" w:rsidRDefault="006013CA">
      <w:pPr>
        <w:spacing w:after="120" w:line="240" w:lineRule="auto"/>
        <w:rPr>
          <w:szCs w:val="28"/>
        </w:rPr>
      </w:pPr>
      <w:r w:rsidRPr="00AF36DE">
        <w:rPr>
          <w:i/>
          <w:szCs w:val="28"/>
        </w:rPr>
        <w:t>Prevenzione</w:t>
      </w:r>
      <w:r w:rsidRPr="00AF36DE">
        <w:rPr>
          <w:szCs w:val="28"/>
        </w:rPr>
        <w:t>. Prevenire il danno (idrogeologico, incendi, perdita di biodiversità). A questo proposito, l’approccio dei costi del non intervento è particolarmente efficace ad evidenziare due fenomeni: non intervenire comporta costi – ambientali, sociali, economici – ben maggiori rispetto alla prevenzione; questi costi interessano non solo la comunità locale ma anche le aree “a valle”, evidenziando lo stretto legame tra la tutela delle Aree Interne e lo sviluppo delle altre aree.</w:t>
      </w:r>
    </w:p>
    <w:p w:rsidR="006013CA" w:rsidRPr="00AF36DE" w:rsidRDefault="006013CA">
      <w:pPr>
        <w:spacing w:after="120" w:line="240" w:lineRule="auto"/>
        <w:rPr>
          <w:szCs w:val="28"/>
        </w:rPr>
      </w:pPr>
      <w:r w:rsidRPr="00AF36DE">
        <w:rPr>
          <w:i/>
          <w:szCs w:val="28"/>
        </w:rPr>
        <w:t>Resilienza.</w:t>
      </w:r>
      <w:r w:rsidRPr="00AF36DE">
        <w:rPr>
          <w:szCs w:val="28"/>
        </w:rPr>
        <w:t xml:space="preserve"> Incrementare la funzione di resilienza delle Aree Interne, soprattutto in considerazione del rapporto con le aree “non interne”. La crisi, ambientale ed economica, evidenzia come le Aree Interne – ricche di risorse ambientali, di saperi, di manufatti, di potenzialità di uso – siano serbatoi di resilienza che potranno essere utilizzati in futuro nell’evoluzione dei rapporti con le aree meno resilienti. </w:t>
      </w:r>
    </w:p>
    <w:p w:rsidR="006013CA" w:rsidRPr="00AF36DE" w:rsidRDefault="006013CA">
      <w:pPr>
        <w:spacing w:after="120" w:line="240" w:lineRule="auto"/>
        <w:rPr>
          <w:szCs w:val="28"/>
        </w:rPr>
      </w:pPr>
      <w:r w:rsidRPr="00AF36DE">
        <w:rPr>
          <w:i/>
          <w:szCs w:val="28"/>
        </w:rPr>
        <w:t>Adattamento</w:t>
      </w:r>
      <w:r w:rsidRPr="00AF36DE">
        <w:rPr>
          <w:szCs w:val="28"/>
        </w:rPr>
        <w:t>. Gestire l'adattamento e la mitigazione rispetto al mutamento globale e al rischio che ne consegue. Ci si riferisce al cambiamento climatico (ma non solo) e alla necessità di tutelare le risorse locali conservando le funzioni che derivano dal capitale naturale.</w:t>
      </w:r>
    </w:p>
    <w:p w:rsidR="006013CA" w:rsidRPr="00AF36DE" w:rsidRDefault="006013CA">
      <w:pPr>
        <w:spacing w:after="120" w:line="240" w:lineRule="auto"/>
        <w:rPr>
          <w:szCs w:val="28"/>
        </w:rPr>
      </w:pPr>
      <w:r w:rsidRPr="00AF36DE">
        <w:rPr>
          <w:i/>
          <w:szCs w:val="28"/>
        </w:rPr>
        <w:t>Servizi.</w:t>
      </w:r>
      <w:r w:rsidRPr="00AF36DE">
        <w:rPr>
          <w:szCs w:val="28"/>
        </w:rPr>
        <w:t xml:space="preserve"> La tutela deve essere intesa in senso pieno, considerando quindi non solo il capitale naturale, ma anche i processi e le funzioni ad esso collegati, e quindi i servizi (ecosistemici) resi</w:t>
      </w:r>
      <w:r>
        <w:rPr>
          <w:szCs w:val="28"/>
        </w:rPr>
        <w:t>.</w:t>
      </w:r>
      <w:r w:rsidRPr="00AF36DE">
        <w:rPr>
          <w:szCs w:val="28"/>
        </w:rPr>
        <w:t xml:space="preserve"> È necessario valutare gli investimenti (di tutela) sul capitale in termini di servizi resi. </w:t>
      </w:r>
    </w:p>
    <w:p w:rsidR="006013CA" w:rsidRPr="00AF36DE" w:rsidRDefault="006013CA">
      <w:pPr>
        <w:spacing w:after="120" w:line="240" w:lineRule="auto"/>
        <w:rPr>
          <w:szCs w:val="28"/>
        </w:rPr>
      </w:pPr>
      <w:r w:rsidRPr="00AF36DE">
        <w:rPr>
          <w:szCs w:val="28"/>
        </w:rPr>
        <w:t xml:space="preserve">Perché si crei un legame tra tutela del territorio, sviluppo e lavoro (vivo) – e si trasformi la tutela del territorio da precondizione a processo di sviluppo – ci vuole un forte cambiamento. </w:t>
      </w:r>
      <w:r>
        <w:rPr>
          <w:szCs w:val="28"/>
        </w:rPr>
        <w:t xml:space="preserve">È </w:t>
      </w:r>
      <w:r w:rsidRPr="00AF36DE">
        <w:rPr>
          <w:szCs w:val="28"/>
        </w:rPr>
        <w:t>necessario quindi:</w:t>
      </w:r>
    </w:p>
    <w:p w:rsidR="006013CA" w:rsidRPr="00AF36DE" w:rsidRDefault="006013CA" w:rsidP="00034E57">
      <w:pPr>
        <w:numPr>
          <w:ilvl w:val="0"/>
          <w:numId w:val="30"/>
        </w:numPr>
        <w:contextualSpacing/>
        <w:rPr>
          <w:szCs w:val="28"/>
        </w:rPr>
      </w:pPr>
      <w:r w:rsidRPr="00AF36DE">
        <w:rPr>
          <w:szCs w:val="28"/>
        </w:rPr>
        <w:t>fare un investimento a lungo termine sulle Comunità locali (talora fino a ricostruirle). Le risorse comuni deperiscono se sono scarsamente valorizzate e se sono separate dalle energie e dai saperi delle persone;</w:t>
      </w:r>
    </w:p>
    <w:p w:rsidR="006013CA" w:rsidRPr="00AF36DE" w:rsidRDefault="006013CA" w:rsidP="00034E57">
      <w:pPr>
        <w:numPr>
          <w:ilvl w:val="0"/>
          <w:numId w:val="30"/>
        </w:numPr>
        <w:contextualSpacing/>
        <w:rPr>
          <w:szCs w:val="28"/>
        </w:rPr>
      </w:pPr>
      <w:r w:rsidRPr="00AF36DE">
        <w:rPr>
          <w:szCs w:val="28"/>
        </w:rPr>
        <w:t>investire su nuove filiere nei settori dell’energia, della foresta, del cibo e dei sistemi eco-sistemici;</w:t>
      </w:r>
    </w:p>
    <w:p w:rsidR="006013CA" w:rsidRPr="00AF36DE" w:rsidRDefault="006013CA" w:rsidP="00034E57">
      <w:pPr>
        <w:numPr>
          <w:ilvl w:val="0"/>
          <w:numId w:val="30"/>
        </w:numPr>
        <w:contextualSpacing/>
        <w:rPr>
          <w:szCs w:val="28"/>
        </w:rPr>
      </w:pPr>
      <w:r w:rsidRPr="00AF36DE">
        <w:rPr>
          <w:szCs w:val="28"/>
        </w:rPr>
        <w:t>restituire a queste comunità gestione e accesso alle risorse locali (accesso alla terra, utilizzo delle risorse idriche, la gestione dei vincoli);</w:t>
      </w:r>
    </w:p>
    <w:p w:rsidR="006013CA" w:rsidRPr="00AF36DE" w:rsidRDefault="006013CA" w:rsidP="00034E57">
      <w:pPr>
        <w:numPr>
          <w:ilvl w:val="0"/>
          <w:numId w:val="30"/>
        </w:numPr>
        <w:contextualSpacing/>
        <w:rPr>
          <w:szCs w:val="28"/>
        </w:rPr>
      </w:pPr>
      <w:r w:rsidRPr="00AF36DE">
        <w:rPr>
          <w:szCs w:val="28"/>
        </w:rPr>
        <w:t>favorire la co-produzione di servizi innovativi e connettere nuovamente aree di tipo differente, aree che consumano e aree che producono (eco-servizi)</w:t>
      </w:r>
    </w:p>
    <w:p w:rsidR="006013CA" w:rsidRPr="00034E57" w:rsidRDefault="006013CA">
      <w:pPr>
        <w:spacing w:after="120" w:line="240" w:lineRule="auto"/>
        <w:rPr>
          <w:szCs w:val="28"/>
        </w:rPr>
      </w:pPr>
      <w:r w:rsidRPr="00034E57">
        <w:rPr>
          <w:szCs w:val="28"/>
        </w:rPr>
        <w:t xml:space="preserve">Bisogna inoltre ricorrere a nuove forme di </w:t>
      </w:r>
      <w:r w:rsidRPr="00034E57">
        <w:rPr>
          <w:i/>
          <w:szCs w:val="28"/>
        </w:rPr>
        <w:t xml:space="preserve">governance </w:t>
      </w:r>
      <w:r w:rsidRPr="00034E57">
        <w:rPr>
          <w:szCs w:val="28"/>
        </w:rPr>
        <w:t>per</w:t>
      </w:r>
      <w:r w:rsidRPr="00034E57">
        <w:rPr>
          <w:i/>
          <w:szCs w:val="28"/>
        </w:rPr>
        <w:t>:</w:t>
      </w:r>
    </w:p>
    <w:p w:rsidR="006013CA" w:rsidRPr="00AF36DE" w:rsidRDefault="006013CA" w:rsidP="00034E57">
      <w:pPr>
        <w:numPr>
          <w:ilvl w:val="0"/>
          <w:numId w:val="30"/>
        </w:numPr>
        <w:contextualSpacing/>
        <w:rPr>
          <w:szCs w:val="28"/>
        </w:rPr>
      </w:pPr>
      <w:r w:rsidRPr="00AF36DE">
        <w:rPr>
          <w:szCs w:val="28"/>
        </w:rPr>
        <w:t>trasformare le esternalità positive (in gran parte involontarie) in servizi (attività volontarie);</w:t>
      </w:r>
    </w:p>
    <w:p w:rsidR="006013CA" w:rsidRPr="00AF36DE" w:rsidRDefault="006013CA" w:rsidP="00034E57">
      <w:pPr>
        <w:numPr>
          <w:ilvl w:val="0"/>
          <w:numId w:val="30"/>
        </w:numPr>
        <w:contextualSpacing/>
        <w:rPr>
          <w:szCs w:val="28"/>
        </w:rPr>
      </w:pPr>
      <w:r w:rsidRPr="00AF36DE">
        <w:rPr>
          <w:szCs w:val="28"/>
        </w:rPr>
        <w:t>ricercare nuove forme di attribuzione a soggetti presenti sul territorio (in particolare aziende agricole) di funzioni pubbliche di natura ambientale e paesaggistica;</w:t>
      </w:r>
    </w:p>
    <w:p w:rsidR="006013CA" w:rsidRPr="00AF36DE" w:rsidRDefault="006013CA" w:rsidP="00034E57">
      <w:pPr>
        <w:numPr>
          <w:ilvl w:val="0"/>
          <w:numId w:val="30"/>
        </w:numPr>
        <w:contextualSpacing/>
        <w:rPr>
          <w:szCs w:val="28"/>
        </w:rPr>
      </w:pPr>
      <w:r w:rsidRPr="00AF36DE">
        <w:rPr>
          <w:szCs w:val="28"/>
        </w:rPr>
        <w:t>organizzare nuove forme di co-governance pubblico-privata per assicurare la complementarietà tra produzione contestuale di beni pubblici (salute, ambiente, conoscenza) e privati (creazione di valore, scelte di consumo);</w:t>
      </w:r>
    </w:p>
    <w:p w:rsidR="006013CA" w:rsidRDefault="006013CA" w:rsidP="00034E57">
      <w:pPr>
        <w:numPr>
          <w:ilvl w:val="0"/>
          <w:numId w:val="30"/>
        </w:numPr>
        <w:contextualSpacing/>
        <w:rPr>
          <w:szCs w:val="28"/>
        </w:rPr>
      </w:pPr>
      <w:r w:rsidRPr="00AF36DE">
        <w:rPr>
          <w:szCs w:val="28"/>
        </w:rPr>
        <w:t>affermare nuovi modelli di gestione associata delle attività comunali (incluse quelle in campo ambientale): unioni e convenzioni dei Comuni.</w:t>
      </w:r>
    </w:p>
    <w:p w:rsidR="006013CA" w:rsidRDefault="006013CA" w:rsidP="00EA7C8D">
      <w:pPr>
        <w:contextualSpacing/>
        <w:rPr>
          <w:szCs w:val="28"/>
        </w:rPr>
      </w:pPr>
    </w:p>
    <w:p w:rsidR="006013CA" w:rsidRPr="00AF36DE" w:rsidRDefault="006013CA" w:rsidP="00EA7C8D">
      <w:pPr>
        <w:contextualSpacing/>
        <w:rPr>
          <w:szCs w:val="28"/>
        </w:rPr>
      </w:pPr>
    </w:p>
    <w:p w:rsidR="006013CA" w:rsidRPr="00AF36DE" w:rsidRDefault="006013CA" w:rsidP="00AF36DE">
      <w:pPr>
        <w:pBdr>
          <w:top w:val="single" w:sz="4" w:space="1" w:color="auto"/>
          <w:left w:val="single" w:sz="4" w:space="4" w:color="auto"/>
          <w:bottom w:val="single" w:sz="4" w:space="1" w:color="auto"/>
          <w:right w:val="single" w:sz="4" w:space="4" w:color="auto"/>
        </w:pBdr>
        <w:spacing w:after="120"/>
        <w:rPr>
          <w:b/>
          <w:i/>
          <w:szCs w:val="28"/>
          <w:lang w:eastAsia="it-IT"/>
        </w:rPr>
      </w:pPr>
      <w:r w:rsidRPr="00AF36DE">
        <w:rPr>
          <w:b/>
          <w:i/>
          <w:szCs w:val="28"/>
          <w:lang w:eastAsia="it-IT"/>
        </w:rPr>
        <w:t>Box - Norme e Usi Civici – da sviluppare</w:t>
      </w:r>
    </w:p>
    <w:p w:rsidR="006013CA" w:rsidRPr="00AF36DE" w:rsidRDefault="006013CA" w:rsidP="00AF36DE">
      <w:pPr>
        <w:spacing w:after="0" w:line="240" w:lineRule="auto"/>
        <w:rPr>
          <w:i/>
          <w:szCs w:val="28"/>
        </w:rPr>
      </w:pPr>
    </w:p>
    <w:p w:rsidR="006013CA" w:rsidRPr="00EA7C8D" w:rsidRDefault="006013CA" w:rsidP="00EA7C8D">
      <w:pPr>
        <w:pStyle w:val="Heading3"/>
        <w:spacing w:before="0" w:after="240" w:line="240" w:lineRule="auto"/>
        <w:rPr>
          <w:b/>
          <w:sz w:val="24"/>
          <w:szCs w:val="24"/>
        </w:rPr>
      </w:pPr>
      <w:bookmarkStart w:id="19" w:name="_Toc356901595"/>
      <w:r w:rsidRPr="00EA7C8D">
        <w:rPr>
          <w:b/>
          <w:sz w:val="24"/>
          <w:szCs w:val="24"/>
        </w:rPr>
        <w:t>4.3</w:t>
      </w:r>
      <w:r w:rsidRPr="00EA7C8D">
        <w:rPr>
          <w:b/>
          <w:sz w:val="24"/>
          <w:szCs w:val="24"/>
        </w:rPr>
        <w:tab/>
        <w:t>Valorizzazione delle risorse naturali, culturali e del turismo sostenibile</w:t>
      </w:r>
      <w:bookmarkEnd w:id="19"/>
      <w:r w:rsidRPr="00EA7C8D">
        <w:rPr>
          <w:b/>
          <w:sz w:val="24"/>
          <w:szCs w:val="24"/>
        </w:rPr>
        <w:t xml:space="preserve"> </w:t>
      </w:r>
    </w:p>
    <w:p w:rsidR="006013CA" w:rsidRPr="00AF36DE" w:rsidRDefault="006013CA">
      <w:pPr>
        <w:spacing w:after="120" w:line="240" w:lineRule="auto"/>
        <w:rPr>
          <w:szCs w:val="28"/>
        </w:rPr>
      </w:pPr>
      <w:r w:rsidRPr="00AF36DE">
        <w:rPr>
          <w:szCs w:val="28"/>
        </w:rPr>
        <w:t>Le Aree Interne del Paese presentano una ricca biodiversità climatica e naturale che ha a sua volta favorito la diffusione e la sopravvivenza di prodotti agricoli straordinariamente diversi, giunti in Italia attraverso successive, secolari ondate (dell’epoca pre-romana e romana e poi dal Medio-Oriente e dal Sud-America). Questa duplice diversità, prima naturale e poi frutto dell’azione umana, si è mescolata nei singoli luoghi con la diversità di lingue, culture e tradizioni, favorita dalla separazione fra i luoghi. In una fase storica in cui, in presenza di una nuova ondata di globalizzazione, la diversità dei luoghi e il policentrismo assumono un ruolo crescente nelle aspirazioni delle persone e come opportunità di sviluppo, l’Italia è particolarmente ben posizionata: il policentrismo non si deve perseguire</w:t>
      </w:r>
      <w:r>
        <w:rPr>
          <w:szCs w:val="28"/>
        </w:rPr>
        <w:t xml:space="preserve"> </w:t>
      </w:r>
      <w:r w:rsidRPr="00AF36DE">
        <w:rPr>
          <w:szCs w:val="28"/>
        </w:rPr>
        <w:t xml:space="preserve">– ma mantenere. </w:t>
      </w:r>
    </w:p>
    <w:p w:rsidR="006013CA" w:rsidRPr="00AF36DE" w:rsidRDefault="006013CA">
      <w:pPr>
        <w:spacing w:after="120" w:line="240" w:lineRule="auto"/>
        <w:rPr>
          <w:szCs w:val="28"/>
        </w:rPr>
      </w:pPr>
      <w:r>
        <w:rPr>
          <w:szCs w:val="28"/>
        </w:rPr>
        <w:t>Le</w:t>
      </w:r>
      <w:r w:rsidRPr="00AF36DE">
        <w:rPr>
          <w:szCs w:val="28"/>
        </w:rPr>
        <w:t xml:space="preserve"> Aree Interne appaiono ricche anche di notevoli risorse naturali e culturali. Tuttavia la loro valorizzazione non sempre è stata condotta all’insegna della sostenibilità, che rimane la fondamentale sfida quando si vuole combinare orientamento al mercato, creazione di occupazione e mantenimento/tutela del patrimonio originario. </w:t>
      </w:r>
    </w:p>
    <w:p w:rsidR="006013CA" w:rsidRPr="00AF36DE" w:rsidRDefault="006013CA">
      <w:pPr>
        <w:spacing w:after="120" w:line="240" w:lineRule="auto"/>
        <w:rPr>
          <w:szCs w:val="28"/>
        </w:rPr>
      </w:pPr>
      <w:r w:rsidRPr="00AF36DE">
        <w:rPr>
          <w:szCs w:val="28"/>
        </w:rPr>
        <w:t xml:space="preserve">Una delle chiavi più interessanti, alla luce di alcune esperienze realizzate di recente, potrebbe essere quella del </w:t>
      </w:r>
      <w:r w:rsidRPr="00AF36DE">
        <w:rPr>
          <w:b/>
          <w:szCs w:val="28"/>
        </w:rPr>
        <w:t>turismo naturalistico</w:t>
      </w:r>
      <w:r w:rsidRPr="00AF36DE">
        <w:rPr>
          <w:szCs w:val="28"/>
        </w:rPr>
        <w:t xml:space="preserve">, che ha raccolto una domanda crescente, anche se soddisfatta in modo non adeguato. La realizzazione di forme innovative di progettazione ha implicato, nei casi di successo, forme nuove e qualificate di </w:t>
      </w:r>
      <w:r w:rsidRPr="00AF36DE">
        <w:rPr>
          <w:b/>
          <w:szCs w:val="28"/>
        </w:rPr>
        <w:t>occupazione giovanile</w:t>
      </w:r>
      <w:r w:rsidRPr="00AF36DE">
        <w:rPr>
          <w:szCs w:val="28"/>
        </w:rPr>
        <w:t xml:space="preserve">, il </w:t>
      </w:r>
      <w:r w:rsidRPr="00AF36DE">
        <w:rPr>
          <w:b/>
          <w:szCs w:val="28"/>
        </w:rPr>
        <w:t>recupero del patrimonio artistico</w:t>
      </w:r>
      <w:r w:rsidRPr="00AF36DE">
        <w:rPr>
          <w:szCs w:val="28"/>
        </w:rPr>
        <w:t xml:space="preserve"> e anche </w:t>
      </w:r>
      <w:r w:rsidRPr="00AF36DE">
        <w:rPr>
          <w:b/>
          <w:szCs w:val="28"/>
        </w:rPr>
        <w:t>abitativo</w:t>
      </w:r>
      <w:r w:rsidRPr="00AF36DE">
        <w:rPr>
          <w:szCs w:val="28"/>
        </w:rPr>
        <w:t xml:space="preserve"> dei comuni più interni, la creazione di forme alternative e integrative di reddito per la popolazione locale, la conoscenza presso un pubblico più ampio di territori che erano del tutto fuori dai grandi circuiti turistici. Sotto questo punto di vista la promozione di forme diffuse di ospitalità (non necessariamente legate a strutture turistiche o agri-turistiche) ha rappresentato, nei centri fuori dai grandi circuiti, una modalità interessante di tutela di borghi, piccoli paesi, ecc. e di mantenimento di un tessuto sociale in questi territori.</w:t>
      </w:r>
    </w:p>
    <w:p w:rsidR="006013CA" w:rsidRPr="00AF36DE" w:rsidRDefault="006013CA">
      <w:pPr>
        <w:spacing w:after="120" w:line="240" w:lineRule="auto"/>
        <w:rPr>
          <w:szCs w:val="28"/>
        </w:rPr>
      </w:pPr>
      <w:r w:rsidRPr="00AF36DE">
        <w:rPr>
          <w:szCs w:val="28"/>
        </w:rPr>
        <w:t xml:space="preserve">Una seconda chiave di volta della progettazione locale in questo campo è legata all’identità culturale delle popolazioni, un tema che è stato oggetto di interventi diversi, soprattutto di carattere immateriale, ma con risultati a volte molto controversi. </w:t>
      </w:r>
      <w:r w:rsidRPr="00AF36DE">
        <w:rPr>
          <w:b/>
          <w:szCs w:val="28"/>
        </w:rPr>
        <w:t>Come valorizzare efficacemente la chiave dell’identità culturale?</w:t>
      </w:r>
      <w:r w:rsidRPr="00AF36DE">
        <w:rPr>
          <w:szCs w:val="28"/>
        </w:rPr>
        <w:t xml:space="preserve"> Sotto questo profilo occorrerebbe riflettere su interventi che da un lato mantengano quelle che sono le tradizioni e la cultura locale e dall’altro le valorizzino presso un pubblico più vasto. </w:t>
      </w:r>
    </w:p>
    <w:p w:rsidR="006013CA" w:rsidRPr="00AF36DE" w:rsidRDefault="006013CA">
      <w:pPr>
        <w:spacing w:after="120" w:line="240" w:lineRule="auto"/>
        <w:rPr>
          <w:szCs w:val="28"/>
        </w:rPr>
      </w:pPr>
      <w:r w:rsidRPr="00AF36DE">
        <w:rPr>
          <w:szCs w:val="28"/>
        </w:rPr>
        <w:t>Per avere vitalità sociale, culturale ed economica, è necessario che nei territori la popolazione presente si mantenga su livelli di numerosità che ne impediscano l’”implosione”. Non meno importante è la struttura per età e la struttura delle famiglie. Nelle Aree Interne, la popolazione è generalmente</w:t>
      </w:r>
      <w:r>
        <w:rPr>
          <w:szCs w:val="28"/>
        </w:rPr>
        <w:t xml:space="preserve"> </w:t>
      </w:r>
      <w:r w:rsidRPr="00AF36DE">
        <w:rPr>
          <w:szCs w:val="28"/>
        </w:rPr>
        <w:t>molto anziana</w:t>
      </w:r>
      <w:r>
        <w:rPr>
          <w:szCs w:val="28"/>
        </w:rPr>
        <w:t xml:space="preserve">, </w:t>
      </w:r>
      <w:r w:rsidRPr="00AF36DE">
        <w:rPr>
          <w:szCs w:val="28"/>
        </w:rPr>
        <w:t xml:space="preserve"> il che comporta varie e pesanti conseguenze:</w:t>
      </w:r>
    </w:p>
    <w:p w:rsidR="006013CA" w:rsidRPr="00AF36DE" w:rsidRDefault="006013CA" w:rsidP="00EA7C8D">
      <w:pPr>
        <w:numPr>
          <w:ilvl w:val="0"/>
          <w:numId w:val="38"/>
        </w:numPr>
        <w:spacing w:after="120" w:line="240" w:lineRule="auto"/>
        <w:rPr>
          <w:szCs w:val="28"/>
        </w:rPr>
      </w:pPr>
      <w:r w:rsidRPr="00AF36DE">
        <w:rPr>
          <w:szCs w:val="28"/>
        </w:rPr>
        <w:t>se la quota di popolazione anziana e molto anziana (con più di 65 anni) sul totale della popolazione supera il 30 per cento, la popolazione si trova oltre un punto di “non ritorno demografico”, nel senso che non ha la capacità endogena di sopravvivere; soltanto una fortissima immigrazione dall’esterno dell’area può riavviare un processo di vitalità demografica;</w:t>
      </w:r>
    </w:p>
    <w:p w:rsidR="006013CA" w:rsidRPr="00AF36DE" w:rsidRDefault="006013CA" w:rsidP="00EA7C8D">
      <w:pPr>
        <w:numPr>
          <w:ilvl w:val="0"/>
          <w:numId w:val="38"/>
        </w:numPr>
        <w:spacing w:after="120" w:line="240" w:lineRule="auto"/>
        <w:rPr>
          <w:szCs w:val="28"/>
        </w:rPr>
      </w:pPr>
      <w:r w:rsidRPr="00AF36DE">
        <w:rPr>
          <w:szCs w:val="28"/>
        </w:rPr>
        <w:t>in presenza di una così elevata quota di anziani e molto anziani la necessità di un sistema di cura diffuso e appropriato diventa una delle priorità assolute;</w:t>
      </w:r>
    </w:p>
    <w:p w:rsidR="006013CA" w:rsidRPr="00AF36DE" w:rsidRDefault="006013CA" w:rsidP="00EA7C8D">
      <w:pPr>
        <w:numPr>
          <w:ilvl w:val="0"/>
          <w:numId w:val="38"/>
        </w:numPr>
        <w:spacing w:after="120" w:line="240" w:lineRule="auto"/>
        <w:rPr>
          <w:szCs w:val="28"/>
        </w:rPr>
      </w:pPr>
      <w:r w:rsidRPr="00AF36DE">
        <w:rPr>
          <w:szCs w:val="28"/>
        </w:rPr>
        <w:t>le abitazioni invecchiano con i loro abitanti, per cui si viene a creare uno stock di abitazioni, spesso sovradimensionato rispetto alle esigenze, al quale non è assicurata la necessaria manutenzione, con un imponente degrado del patrimonio abitativo;</w:t>
      </w:r>
    </w:p>
    <w:p w:rsidR="006013CA" w:rsidRPr="00AF36DE" w:rsidRDefault="006013CA" w:rsidP="00AF36DE">
      <w:pPr>
        <w:spacing w:after="120" w:line="240" w:lineRule="auto"/>
        <w:rPr>
          <w:szCs w:val="28"/>
        </w:rPr>
      </w:pPr>
      <w:r w:rsidRPr="00AF36DE">
        <w:rPr>
          <w:szCs w:val="28"/>
        </w:rPr>
        <w:t>Con una popolazione</w:t>
      </w:r>
      <w:r>
        <w:rPr>
          <w:szCs w:val="28"/>
        </w:rPr>
        <w:t xml:space="preserve"> </w:t>
      </w:r>
      <w:r w:rsidRPr="00AF36DE">
        <w:rPr>
          <w:szCs w:val="28"/>
        </w:rPr>
        <w:t>invecchiata e sparsa,</w:t>
      </w:r>
      <w:r>
        <w:rPr>
          <w:szCs w:val="28"/>
        </w:rPr>
        <w:t xml:space="preserve"> </w:t>
      </w:r>
      <w:r w:rsidRPr="00AF36DE">
        <w:rPr>
          <w:szCs w:val="28"/>
        </w:rPr>
        <w:t>il territorio, specie quello di alta collina o di montagna, non sempre viene sufficientemente curato, con possibili gravi conseguenze di dissesto idro-geologico che ben conosciamo. In questo contesto, le sole possibilità di rivitalizzazione demografica ed economica sono quelle di:</w:t>
      </w:r>
    </w:p>
    <w:p w:rsidR="006013CA" w:rsidRPr="00AF36DE" w:rsidRDefault="006013CA" w:rsidP="00EA7C8D">
      <w:pPr>
        <w:numPr>
          <w:ilvl w:val="0"/>
          <w:numId w:val="39"/>
        </w:numPr>
        <w:spacing w:after="120" w:line="240" w:lineRule="auto"/>
        <w:rPr>
          <w:szCs w:val="28"/>
        </w:rPr>
      </w:pPr>
      <w:r w:rsidRPr="00AF36DE">
        <w:rPr>
          <w:szCs w:val="28"/>
        </w:rPr>
        <w:t>trattenere in loco la popolazione giovane valorizzando la loro presenza come depositari delle eredità storico-culturali del territorio, fornendo perciò ai giovani un motivo ideale per rimanere. Dal punto di vista della vita quotidiana, da un lato la costituzione di sistemi locali intercomunali, e dall’altro l’esistenza della rete dovrebbero costituire le precondizioni per il trattenimento della popolazione giovane e adulta;</w:t>
      </w:r>
    </w:p>
    <w:p w:rsidR="006013CA" w:rsidRPr="00AF36DE" w:rsidRDefault="006013CA" w:rsidP="00EA7C8D">
      <w:pPr>
        <w:numPr>
          <w:ilvl w:val="0"/>
          <w:numId w:val="39"/>
        </w:numPr>
        <w:spacing w:after="120" w:line="240" w:lineRule="auto"/>
        <w:rPr>
          <w:szCs w:val="28"/>
        </w:rPr>
      </w:pPr>
      <w:r w:rsidRPr="00AF36DE">
        <w:rPr>
          <w:szCs w:val="28"/>
        </w:rPr>
        <w:t>attirare popolazione straniera, che è giovane e desiderosa di affermazione sociale ed economica; Il necessario processo di integrazione della popolazione immigrata va opportunamente preparato e seguito;.</w:t>
      </w:r>
    </w:p>
    <w:p w:rsidR="006013CA" w:rsidRPr="00AF36DE" w:rsidRDefault="006013CA" w:rsidP="00EA7C8D">
      <w:pPr>
        <w:numPr>
          <w:ilvl w:val="0"/>
          <w:numId w:val="39"/>
        </w:numPr>
        <w:spacing w:after="120" w:line="240" w:lineRule="auto"/>
        <w:rPr>
          <w:szCs w:val="28"/>
        </w:rPr>
      </w:pPr>
      <w:r w:rsidRPr="00AF36DE">
        <w:rPr>
          <w:szCs w:val="28"/>
        </w:rPr>
        <w:t xml:space="preserve">favorire la costituzione di </w:t>
      </w:r>
      <w:r w:rsidRPr="00AF36DE">
        <w:rPr>
          <w:i/>
          <w:szCs w:val="28"/>
        </w:rPr>
        <w:t>joint-venture</w:t>
      </w:r>
      <w:r w:rsidRPr="00AF36DE">
        <w:rPr>
          <w:szCs w:val="28"/>
        </w:rPr>
        <w:t xml:space="preserve"> degli immigrati di successo con parenti o amici rimasti nella madre-patria. Naturalmente una strategia del genere richiede che si possano avere una forte mobilità e intensi scambi umani e commerciali all’interno del Mediterraneo;</w:t>
      </w:r>
    </w:p>
    <w:p w:rsidR="006013CA" w:rsidRPr="00AF36DE" w:rsidRDefault="006013CA" w:rsidP="00EA7C8D">
      <w:pPr>
        <w:numPr>
          <w:ilvl w:val="0"/>
          <w:numId w:val="39"/>
        </w:numPr>
        <w:spacing w:after="120" w:line="240" w:lineRule="auto"/>
        <w:rPr>
          <w:szCs w:val="28"/>
        </w:rPr>
      </w:pPr>
      <w:r w:rsidRPr="00AF36DE">
        <w:rPr>
          <w:szCs w:val="28"/>
        </w:rPr>
        <w:t>favorire la costituzione, da parte dei giovani locali, di cooperative per la produzione e il commercio e per l’assistenza e la cura</w:t>
      </w:r>
    </w:p>
    <w:p w:rsidR="006013CA" w:rsidRPr="00AF36DE" w:rsidRDefault="006013CA" w:rsidP="00AF36DE">
      <w:pPr>
        <w:contextualSpacing/>
        <w:rPr>
          <w:szCs w:val="28"/>
        </w:rPr>
      </w:pPr>
    </w:p>
    <w:p w:rsidR="006013CA" w:rsidRPr="00EA7C8D" w:rsidRDefault="006013CA" w:rsidP="00EA7C8D">
      <w:pPr>
        <w:pStyle w:val="Heading3"/>
        <w:spacing w:before="0" w:after="240" w:line="240" w:lineRule="auto"/>
        <w:rPr>
          <w:b/>
          <w:sz w:val="24"/>
          <w:szCs w:val="24"/>
        </w:rPr>
      </w:pPr>
      <w:bookmarkStart w:id="20" w:name="_Toc356901596"/>
      <w:r w:rsidRPr="00EA7C8D">
        <w:rPr>
          <w:b/>
          <w:sz w:val="24"/>
          <w:szCs w:val="24"/>
        </w:rPr>
        <w:t>4.4</w:t>
      </w:r>
      <w:r w:rsidRPr="00EA7C8D">
        <w:rPr>
          <w:b/>
          <w:sz w:val="24"/>
          <w:szCs w:val="24"/>
        </w:rPr>
        <w:tab/>
        <w:t>Sistemi Agro-Alimentari e Sviluppo Locale</w:t>
      </w:r>
      <w:bookmarkEnd w:id="20"/>
    </w:p>
    <w:p w:rsidR="006013CA" w:rsidRPr="00AF36DE" w:rsidRDefault="006013CA">
      <w:pPr>
        <w:spacing w:after="120" w:line="240" w:lineRule="auto"/>
        <w:rPr>
          <w:szCs w:val="28"/>
        </w:rPr>
      </w:pPr>
      <w:r w:rsidRPr="00AF36DE">
        <w:rPr>
          <w:szCs w:val="28"/>
        </w:rPr>
        <w:t xml:space="preserve">Le Aree Interne sono ricche di produzioni agricole di pregio, caratterizzate da elevata tipicità e apprezzamento dal mercato. La tipicità di queste produzioni proveniente dal legame tra vocazioni del territorio e tecniche produttive, viene spesso accresciuta dalla localizzazione nelle aree di produzione delle fasi di trasformazione del prodotto agricolo. Ne consegue che il prodotto alimentare di queste aree diviene patrimonio culturale ed elemento di identità locale. Questo è stato alla base dello sviluppo di mercati locali e di altre attività economiche che hanno favorito il collegamento con mercati extra locali e con consumatori delle aree urbane nazionali ed esteri. Un effetto congiunto è stato quello di una maggiore responsabilizzazione degli attori economici e sociali locali nella gestione delle risorse naturali ed ambientali in quanto risorse comuni a più attività (agricoltura, turismo, commercio ecc.). Questa consapevolezza ha favorito sia la mobilitazione sia la tutela delle risorse locali ed in particolare di quelle legate ai sistemi agricoli ed agroalimentari. </w:t>
      </w:r>
    </w:p>
    <w:p w:rsidR="006013CA" w:rsidRPr="00AF36DE" w:rsidRDefault="006013CA">
      <w:pPr>
        <w:spacing w:after="120" w:line="240" w:lineRule="auto"/>
        <w:rPr>
          <w:szCs w:val="28"/>
        </w:rPr>
      </w:pPr>
      <w:r w:rsidRPr="00AF36DE">
        <w:rPr>
          <w:szCs w:val="28"/>
        </w:rPr>
        <w:t xml:space="preserve">Nel corso degli ultimi anni si è assistito ad alcune forme innovative di progettazione locale, peraltro ancora limitate, capaci di coniugare il crescente orientamento al mercato, la creazione di </w:t>
      </w:r>
      <w:r w:rsidRPr="00AF36DE">
        <w:rPr>
          <w:b/>
          <w:szCs w:val="28"/>
        </w:rPr>
        <w:t>nuove forme di occupazione</w:t>
      </w:r>
      <w:r w:rsidRPr="00AF36DE">
        <w:rPr>
          <w:szCs w:val="28"/>
        </w:rPr>
        <w:t xml:space="preserve"> e il </w:t>
      </w:r>
      <w:r w:rsidRPr="00AF36DE">
        <w:rPr>
          <w:b/>
          <w:szCs w:val="28"/>
        </w:rPr>
        <w:t>mantenimento di un patrimonio di biodiversità locale</w:t>
      </w:r>
      <w:r w:rsidRPr="00AF36DE">
        <w:rPr>
          <w:szCs w:val="28"/>
        </w:rPr>
        <w:t xml:space="preserve"> che è la fonte principale di tali produzioni. La ricerca di sbocchi che vanno anche oltre il mero mercato locale, con i consumatori localizzati nelle aree urbane, è stata una delle chiavi di volta di questo processo di innovazione, guidato da alcuni tecnici e imprenditori particolarmente avveduti e in grado di trainare anche altre imprese locali. </w:t>
      </w:r>
    </w:p>
    <w:p w:rsidR="006013CA" w:rsidRPr="00AF36DE" w:rsidRDefault="006013CA">
      <w:pPr>
        <w:spacing w:after="120" w:line="240" w:lineRule="auto"/>
        <w:rPr>
          <w:szCs w:val="28"/>
        </w:rPr>
      </w:pPr>
      <w:r w:rsidRPr="00AF36DE">
        <w:rPr>
          <w:szCs w:val="28"/>
        </w:rPr>
        <w:t>La possibilità di creare rapporti diretti tra produttore e consumatore (filiera corta) attraverso nuovi canali e strumenti di commercializzazione (dai mercati dei produttori, ai Gruppi di acquisto, alla vendita on-line con consegna diretta al cliente) hanno consentito al produttore di recuperare una parte della riduzione del reddito derivante dal calo dei prezzi e dai nuovi orientamenti di consumo conseguenti alla crisi economica e finanziaria e di portare prodotti tradizionalmente confinati nei mercati locali o distribuiti attraverso la GD</w:t>
      </w:r>
      <w:r>
        <w:rPr>
          <w:szCs w:val="28"/>
        </w:rPr>
        <w:t>O</w:t>
      </w:r>
      <w:r w:rsidRPr="00AF36DE">
        <w:rPr>
          <w:szCs w:val="28"/>
        </w:rPr>
        <w:t xml:space="preserve"> in nuovi segmenti di mercato più promettenti. </w:t>
      </w:r>
    </w:p>
    <w:p w:rsidR="006013CA" w:rsidRPr="00AF36DE" w:rsidRDefault="006013CA">
      <w:pPr>
        <w:spacing w:after="120" w:line="240" w:lineRule="auto"/>
        <w:rPr>
          <w:szCs w:val="28"/>
        </w:rPr>
      </w:pPr>
      <w:r w:rsidRPr="00AF36DE">
        <w:rPr>
          <w:szCs w:val="28"/>
        </w:rPr>
        <w:t xml:space="preserve">Il consolidamento di queste filiere sul mercato, soprattutto su quello extra-locale, ha dato una nuova e più robusta prospettiva anche al mantenimento e alla tutela delle specie animali e vegetali autoctone e ha rivelato che il mercato, nelle sue diverse segmentazioni, può rappresentare, se ben sfruttato, una prospettiva migliore delle diverse forme di sostegno tout-court che la politica comunitaria ha erogato nel corso degli anni passati. Una terza chiave di volta va ricercata nelle </w:t>
      </w:r>
      <w:r w:rsidRPr="00AF36DE">
        <w:rPr>
          <w:b/>
          <w:szCs w:val="28"/>
        </w:rPr>
        <w:t>forme organizzative</w:t>
      </w:r>
      <w:r w:rsidRPr="00AF36DE">
        <w:rPr>
          <w:szCs w:val="28"/>
        </w:rPr>
        <w:t xml:space="preserve"> che sono necessarie per indirizzare e supportare la filiera verso le innovazioni necessarie. Forme soprattutto partenariali, che richiedono una </w:t>
      </w:r>
      <w:r w:rsidRPr="00AF36DE">
        <w:rPr>
          <w:b/>
          <w:szCs w:val="28"/>
        </w:rPr>
        <w:t>stretta cooperazione tra produzione primaria, trasformazione e commercializzazione</w:t>
      </w:r>
      <w:r w:rsidRPr="00AF36DE">
        <w:rPr>
          <w:szCs w:val="28"/>
        </w:rPr>
        <w:t xml:space="preserve">. </w:t>
      </w:r>
    </w:p>
    <w:p w:rsidR="006013CA" w:rsidRPr="00AF36DE" w:rsidRDefault="006013CA">
      <w:pPr>
        <w:spacing w:after="120" w:line="240" w:lineRule="auto"/>
        <w:rPr>
          <w:szCs w:val="28"/>
        </w:rPr>
      </w:pPr>
      <w:r w:rsidRPr="00AF36DE">
        <w:rPr>
          <w:szCs w:val="28"/>
        </w:rPr>
        <w:t>Una elemento chiave per la salvaguardia e lo sviluppo dei sistemi agricoli e ad agroindustriali delle Aree Interne va individuato nelle forme organizzative che sono necessarie per introdurre e contestualizzare innovazioni di processo e di prodotto anche attraverso l’utilizzo di nuove e più sostenibili tecnologie di produzione, condizionamento, trasformazione e commercializzazione dei prodotti agricoli ed alimentari. Forme soprattutto partenariali, che richiedono una stretta cooperazione tra i diversi operatori economici e le istituzioni ed enti di ricerca ed i servizi di assistenza tecnica, consulenza e formazione</w:t>
      </w:r>
      <w:r>
        <w:rPr>
          <w:szCs w:val="28"/>
        </w:rPr>
        <w:t>.</w:t>
      </w:r>
      <w:r w:rsidRPr="00AF36DE">
        <w:rPr>
          <w:szCs w:val="28"/>
        </w:rPr>
        <w:t xml:space="preserve"> </w:t>
      </w:r>
    </w:p>
    <w:p w:rsidR="006013CA" w:rsidRPr="00AF36DE" w:rsidRDefault="006013CA">
      <w:pPr>
        <w:spacing w:after="120" w:line="240" w:lineRule="auto"/>
        <w:rPr>
          <w:szCs w:val="28"/>
        </w:rPr>
      </w:pPr>
      <w:r w:rsidRPr="00AF36DE">
        <w:rPr>
          <w:szCs w:val="28"/>
        </w:rPr>
        <w:t>La crescente attenzione dei consumatori verso tecniche di produzione che garantiscano sicurezza degli alimenti, riproduzione e razionalizzazione delle risorse naturali impiegate (water footprint e biodiversità), riduzione dell’inquinamento (carbon footprint) e benessere animale possono costituire oggi un vantaggio competitivo per le produzioni delle Aree Interne, un incentivo al recupero dei terreni abbandonati in particolare attraverso allevamenti di tipo estensivo e la creazione di nuove opportunità di lavoro per profili ad elevata scolarità.</w:t>
      </w:r>
    </w:p>
    <w:p w:rsidR="006013CA" w:rsidRPr="00AF36DE" w:rsidRDefault="006013CA" w:rsidP="00034E57">
      <w:pPr>
        <w:spacing w:after="120" w:line="240" w:lineRule="auto"/>
        <w:rPr>
          <w:szCs w:val="28"/>
        </w:rPr>
      </w:pPr>
    </w:p>
    <w:p w:rsidR="006013CA" w:rsidRPr="00EA7C8D" w:rsidRDefault="006013CA" w:rsidP="00EA7C8D">
      <w:pPr>
        <w:pStyle w:val="Heading3"/>
        <w:spacing w:before="0" w:after="240" w:line="240" w:lineRule="auto"/>
        <w:rPr>
          <w:b/>
          <w:sz w:val="24"/>
          <w:szCs w:val="24"/>
        </w:rPr>
      </w:pPr>
      <w:bookmarkStart w:id="21" w:name="_Toc356901597"/>
      <w:r w:rsidRPr="00EA7C8D">
        <w:rPr>
          <w:b/>
          <w:sz w:val="24"/>
          <w:szCs w:val="24"/>
        </w:rPr>
        <w:t>4.5</w:t>
      </w:r>
      <w:r w:rsidRPr="00EA7C8D">
        <w:rPr>
          <w:b/>
          <w:sz w:val="24"/>
          <w:szCs w:val="24"/>
        </w:rPr>
        <w:tab/>
        <w:t>Filiere locali di energia rinnovabile</w:t>
      </w:r>
      <w:bookmarkEnd w:id="21"/>
    </w:p>
    <w:p w:rsidR="006013CA" w:rsidRPr="00AF36DE" w:rsidRDefault="006013CA">
      <w:pPr>
        <w:spacing w:after="120" w:line="240" w:lineRule="auto"/>
        <w:rPr>
          <w:szCs w:val="28"/>
        </w:rPr>
      </w:pPr>
      <w:r w:rsidRPr="00AF36DE">
        <w:rPr>
          <w:szCs w:val="28"/>
        </w:rPr>
        <w:t>La valorizzazione delle risorse energetiche nelle Aree Interne costituisce per quei territori un fattore di sviluppo promettente ma controverso. Il fondamento di questa ambivalenza risiede in alcuni degli stessi tratti distintivi dei territori interni. Si tratta di ambiti dove l’utilizzo di fonti primarie rinnovabili, talora disponibili in quantità abbondanti, implica intervenire su ecosistemi vulnerabili, nei quali il soddisfacimento dei fabbisogni energetici locali si rapporta con la fragilità di un patrimonio edilizio plasmato da insediamenti antropici, spesso di antichissima origine; in cui le caratteristiche climatiche influenzano la domanda per usi termici in misura maggiore rispetto a quella elettrica e ne accentuano la variabilità temporale.</w:t>
      </w:r>
    </w:p>
    <w:p w:rsidR="006013CA" w:rsidRPr="00AF36DE" w:rsidRDefault="006013CA">
      <w:pPr>
        <w:spacing w:after="120" w:line="240" w:lineRule="auto"/>
        <w:rPr>
          <w:szCs w:val="28"/>
        </w:rPr>
      </w:pPr>
      <w:r w:rsidRPr="00AF36DE">
        <w:rPr>
          <w:szCs w:val="28"/>
        </w:rPr>
        <w:t>Peraltro, la natura sistemica dell’energia limita i gradi di libertà del disegno di una strategia di sviluppo delle risorse energetiche per le Aree Interne. In questa prospettiva, i fattori di contesto più rilevanti sono tre: a) il ruolo delle politiche ordinarie, preponderanti nel settore; b) le opportunità di sfruttamento del potenziale dei territori offerte dalle moderne tecnologie di conversione energetica; c) le tendenze di fondo del settore energetico con maggiore impatto sulle Aree Interne. Sono variabili che rappresentano a un tempo vincoli ed opportunità.</w:t>
      </w:r>
    </w:p>
    <w:p w:rsidR="006013CA" w:rsidRPr="00AF36DE" w:rsidRDefault="006013CA">
      <w:pPr>
        <w:spacing w:after="120" w:line="240" w:lineRule="auto"/>
        <w:rPr>
          <w:szCs w:val="28"/>
        </w:rPr>
      </w:pPr>
      <w:r w:rsidRPr="00AF36DE">
        <w:rPr>
          <w:szCs w:val="28"/>
        </w:rPr>
        <w:t>Guida fondamentale per le politiche ordinarie in questo ambito è la Strategia Energetica Nazionale (SEN), approvata con decreto congiunto dei Ministri dell’ambiente e dello sviluppo economico l’8 marzo scorso. La SEN individua nel risparmio energetico e nelle energie rinnovabili due delle sette azioni-chiave con cui si prefigge di perseguire i quattro obiettivi strategici al 2020 di riduzione dei costi dell’energia, di decarbonizzazione del sistema economico, di rafforzamento della sicurezza degli approvvigionamenti e di rilancio della crescita. Requisito primario per il merito dei progetti nel comparto energetico da promuovere nelle Aree Interne dovrà pertanto essere la loro piena coerenza con la SEN.</w:t>
      </w:r>
    </w:p>
    <w:p w:rsidR="006013CA" w:rsidRPr="00AF36DE" w:rsidRDefault="006013CA">
      <w:pPr>
        <w:spacing w:after="120" w:line="240" w:lineRule="auto"/>
        <w:rPr>
          <w:szCs w:val="28"/>
        </w:rPr>
      </w:pPr>
      <w:r w:rsidRPr="00AF36DE">
        <w:rPr>
          <w:szCs w:val="28"/>
        </w:rPr>
        <w:t>La leva dell’efficienza energetica andrà declinata con principale riferimento a progetti di riqualificazione del patrimonio edilizio, sia pubblico che privato, volti a ottimizzarne le prestazioni energetiche; un ruolo non irrilevante potrà essere esercitato da interventi sui sistemi di trasporto, principalmente sulle flotte circolanti del TPL extra-urbano – nella direzione dell’ammodernamento e/o riconversione dei propulsori – e sul ciclo dei rifiuti, nella direzione del loro riuso e valorizzazione, in coerenza con gli indirizzi contenuti nella nuova direttiva europea sull’efficienza energetica</w:t>
      </w:r>
      <w:r w:rsidRPr="00AF36DE">
        <w:rPr>
          <w:szCs w:val="28"/>
          <w:vertAlign w:val="superscript"/>
        </w:rPr>
        <w:footnoteReference w:id="23"/>
      </w:r>
      <w:r w:rsidRPr="00AF36DE">
        <w:rPr>
          <w:szCs w:val="28"/>
        </w:rPr>
        <w:t>.</w:t>
      </w:r>
    </w:p>
    <w:p w:rsidR="006013CA" w:rsidRPr="00AF36DE" w:rsidRDefault="006013CA">
      <w:pPr>
        <w:spacing w:after="120" w:line="240" w:lineRule="auto"/>
        <w:rPr>
          <w:szCs w:val="28"/>
        </w:rPr>
      </w:pPr>
      <w:r w:rsidRPr="00AF36DE">
        <w:rPr>
          <w:szCs w:val="28"/>
        </w:rPr>
        <w:t xml:space="preserve">Le forme di </w:t>
      </w:r>
      <w:r w:rsidRPr="00AF36DE">
        <w:rPr>
          <w:b/>
          <w:szCs w:val="28"/>
        </w:rPr>
        <w:t>conversione energetica</w:t>
      </w:r>
      <w:r w:rsidRPr="00AF36DE">
        <w:rPr>
          <w:szCs w:val="28"/>
        </w:rPr>
        <w:t xml:space="preserve"> più idonee a valorizzare le vocazioni specifiche dei territori interni riguardano le biomasse di origine agricola e forestale. In questo ambito esiste un rilevante potenziale inespresso da destinare ad usi termici, il cui sfruttamento è coerente con l’obiettivo nazionale di coprire il 20 per cento del relativo fabbisogno con fonti rinnovabili. Le biomasse di origine locale si prestano bene ad alimentare impianti termici dedicati di piccola taglia</w:t>
      </w:r>
      <w:r w:rsidRPr="00AF36DE">
        <w:rPr>
          <w:szCs w:val="28"/>
          <w:vertAlign w:val="superscript"/>
        </w:rPr>
        <w:footnoteReference w:id="24"/>
      </w:r>
      <w:r w:rsidRPr="00AF36DE">
        <w:rPr>
          <w:szCs w:val="28"/>
        </w:rPr>
        <w:t xml:space="preserve"> in quanto consentono di cogliere il duplice vantaggio: (a) della mitigazione degli impatti logistici derivanti dal trasferimento della materia prima in ragione della prossimità tra luogo di produzione e luogo di conversione energetica; (b) della coerenza con la strategia del </w:t>
      </w:r>
      <w:r w:rsidRPr="00AF36DE">
        <w:rPr>
          <w:i/>
          <w:szCs w:val="28"/>
        </w:rPr>
        <w:t>Programma Quadro</w:t>
      </w:r>
      <w:r w:rsidRPr="00AF36DE">
        <w:rPr>
          <w:szCs w:val="28"/>
        </w:rPr>
        <w:t xml:space="preserve"> nazionale per il settore forestale, che prevede la gestione attiva del patrimonio boschivo e il recupero a fini energetici dei territori marginali privi di credibili alternative a destinazione zootecnica o agricola. Saranno di interesse i progetti di recupero a fini energetici delle deiezioni animali e dei residui di potature e di sfalci, che presentano anch’essi il “doppio dividendo” della chiusura del ciclo produttivo attraverso la loro valorizzazione termica o elettrica. </w:t>
      </w:r>
    </w:p>
    <w:p w:rsidR="006013CA" w:rsidRPr="00AF36DE" w:rsidRDefault="006013CA">
      <w:pPr>
        <w:spacing w:after="120" w:line="240" w:lineRule="auto"/>
        <w:rPr>
          <w:szCs w:val="28"/>
        </w:rPr>
      </w:pPr>
      <w:r w:rsidRPr="00AF36DE">
        <w:rPr>
          <w:szCs w:val="28"/>
        </w:rPr>
        <w:t xml:space="preserve">I progetti di valorizzazione energetica destinati alle Aree Interne, per dare prova di lungimiranza, innovatività e credibilità, dovranno infine interpretare le </w:t>
      </w:r>
      <w:r w:rsidRPr="00AF36DE">
        <w:rPr>
          <w:b/>
          <w:szCs w:val="28"/>
        </w:rPr>
        <w:t>tendenze tecnologiche di fondo</w:t>
      </w:r>
      <w:r w:rsidRPr="00AF36DE">
        <w:rPr>
          <w:szCs w:val="28"/>
        </w:rPr>
        <w:t xml:space="preserve"> dei sistemi energetici, sempre più caratterizzati da architetture decentrate gestite con reti “intelligenti”. Nel contesto dello sviluppo delle cd. </w:t>
      </w:r>
      <w:r w:rsidRPr="00AF36DE">
        <w:rPr>
          <w:i/>
          <w:szCs w:val="28"/>
        </w:rPr>
        <w:t>smart grids</w:t>
      </w:r>
      <w:r w:rsidRPr="00AF36DE">
        <w:rPr>
          <w:szCs w:val="28"/>
        </w:rPr>
        <w:t>, fra le soluzioni più promettenti per le Aree Interne rientrano i sistemi di immagazzinaggio decentrato di energia elettrica (</w:t>
      </w:r>
      <w:r w:rsidRPr="00AF36DE">
        <w:rPr>
          <w:i/>
          <w:szCs w:val="28"/>
        </w:rPr>
        <w:t>decentarlized energy storages</w:t>
      </w:r>
      <w:r w:rsidRPr="00AF36DE">
        <w:rPr>
          <w:szCs w:val="28"/>
        </w:rPr>
        <w:t xml:space="preserve">), in particolare quelli di piccola dimensione (con modesto impatto ambientale e tipicamente collegati alle reti in bassa tensione che servono comunità locali) e quelli detti di “breve periodo” (diretti ad assorbire fluttuazioni di domanda e sbilanciamenti di carico di corta durata), utili a contrastare l’instabilità della tensione che determina le irregolarità di fornitura, fenomeno come noto più diffuso nelle aree rurali e nel Mezzogiorno. Il passaggio a forme “intelligenti” di generazione e distribuzione di energia elettrica presenta inoltre il beneficio complementare di favorire una progressiva digitalizzazione dei sistemi di controllo e gestione, con ovvie ricadute sulle dotazioni infrastrutturali e sulle competenze professionali dei territori coinvolti. Per evitare di dissiparne i vantaggi sistemici, lo sviluppo delle </w:t>
      </w:r>
      <w:r w:rsidRPr="00AF36DE">
        <w:rPr>
          <w:i/>
          <w:szCs w:val="28"/>
        </w:rPr>
        <w:t>smart grid</w:t>
      </w:r>
      <w:r w:rsidRPr="00AF36DE">
        <w:rPr>
          <w:szCs w:val="28"/>
        </w:rPr>
        <w:t>, verosimilmente più praticabile nei territori interni con densità abitativa relativamente alta, andrà affiancato da forme di gestione federata dei poli locali di generazione.</w:t>
      </w:r>
    </w:p>
    <w:p w:rsidR="006013CA" w:rsidRDefault="006013CA">
      <w:pPr>
        <w:spacing w:after="120" w:line="240" w:lineRule="auto"/>
        <w:rPr>
          <w:szCs w:val="28"/>
        </w:rPr>
      </w:pPr>
      <w:r w:rsidRPr="00AF36DE">
        <w:rPr>
          <w:szCs w:val="28"/>
        </w:rPr>
        <w:t xml:space="preserve">Una considerazione finale sulla </w:t>
      </w:r>
      <w:r w:rsidRPr="00AF36DE">
        <w:rPr>
          <w:i/>
          <w:szCs w:val="28"/>
        </w:rPr>
        <w:t>governance</w:t>
      </w:r>
      <w:r w:rsidRPr="00AF36DE">
        <w:rPr>
          <w:szCs w:val="28"/>
        </w:rPr>
        <w:t xml:space="preserve"> del processo. La natura sistemica dell’energia comporta l’esigenza di coinvolgere nella definizione operativa della strategia per le Aree Interne e nella validazione dei progetti i soggetti portatori di interessi rilevanti in campo energetico e ambientale. Tale indicazione vale ovviamente per i soggetti locali, dal cui ascolto potranno certamente trarsi suggerimenti ed esperienze replicabili a una scala più vasta; ma riguarda in primo luogo gli attori responsabili delle politiche di settore a livello nazionale: i competenti dicasteri (MATT, MIPAF e MiSE/DG-ENRE), il regolatore settoriale e i centri di competenza nazionale, come l’ENEA.</w:t>
      </w:r>
    </w:p>
    <w:p w:rsidR="006013CA" w:rsidRPr="00AF36DE" w:rsidRDefault="006013CA">
      <w:pPr>
        <w:spacing w:after="120" w:line="240" w:lineRule="auto"/>
        <w:rPr>
          <w:szCs w:val="28"/>
        </w:rPr>
      </w:pPr>
    </w:p>
    <w:p w:rsidR="006013CA" w:rsidRPr="00EA7C8D" w:rsidRDefault="006013CA" w:rsidP="00EA7C8D">
      <w:pPr>
        <w:pStyle w:val="Heading3"/>
        <w:spacing w:before="0" w:after="240" w:line="240" w:lineRule="auto"/>
        <w:rPr>
          <w:b/>
          <w:sz w:val="24"/>
          <w:szCs w:val="24"/>
        </w:rPr>
      </w:pPr>
      <w:bookmarkStart w:id="22" w:name="_Toc356901598"/>
      <w:r w:rsidRPr="00EA7C8D">
        <w:rPr>
          <w:b/>
          <w:sz w:val="24"/>
          <w:szCs w:val="24"/>
        </w:rPr>
        <w:t>4.6</w:t>
      </w:r>
      <w:r w:rsidRPr="00EA7C8D">
        <w:rPr>
          <w:b/>
          <w:sz w:val="24"/>
          <w:szCs w:val="24"/>
        </w:rPr>
        <w:tab/>
        <w:t>Saper fare e artigianato</w:t>
      </w:r>
      <w:bookmarkEnd w:id="22"/>
    </w:p>
    <w:p w:rsidR="006013CA" w:rsidRPr="00AF36DE" w:rsidRDefault="006013CA">
      <w:pPr>
        <w:spacing w:after="120" w:line="240" w:lineRule="auto"/>
        <w:rPr>
          <w:szCs w:val="28"/>
        </w:rPr>
      </w:pPr>
      <w:r w:rsidRPr="00AF36DE">
        <w:rPr>
          <w:szCs w:val="28"/>
        </w:rPr>
        <w:t xml:space="preserve">Tra quelle risorse nascoste dei territori da mettere a valore, sulle quali questo documento pone l’attenzione perché utili per innescare processi di sviluppo nelle Aree Interne del nostro paese, rivestono un ruolo di particolare importanza i cosiddetti saperi locali, tanto nelle loro declinazioni istituzionali e organizzative quanto nelle specificità produttive locali, che in questi saperi hanno le loro origini. Stiamo parlando, nello specifico, di quelle capacità artigianali locali che per anni sono state al centro della riflessione istituzionale come uno dei fattori latenti dello sviluppo dei territori. Infatti, sono proprio le forme che assume il “saper fare” istituzionale, organizzativo e produttivo che concorrono a definire se un territorio appartenga o meno al novero delle Aree Interne “fortunate”, ossia a quelle aree che pur lontane dai poli dello sviluppo, sono state in grado di costruirsi nel corso degli anni delle </w:t>
      </w:r>
      <w:r w:rsidRPr="00AF36DE">
        <w:rPr>
          <w:i/>
          <w:szCs w:val="28"/>
        </w:rPr>
        <w:t>chances</w:t>
      </w:r>
      <w:r w:rsidRPr="00AF36DE">
        <w:rPr>
          <w:szCs w:val="28"/>
        </w:rPr>
        <w:t xml:space="preserve"> in termini di buon vivere, di crescita economica e di gestione oculata delle risorse, o di quelle in cui lo spopolamento, quel drenaggio continuo di uomini, competenze e attività economiche, ha prodotto e continua a produrre negli abitanti smarrimento, subalternità, ed una forte incapacità di immaginare il futuro, quello dei propri figli, quello della propria casa. </w:t>
      </w:r>
    </w:p>
    <w:p w:rsidR="006013CA" w:rsidRPr="00AF36DE" w:rsidRDefault="006013CA">
      <w:pPr>
        <w:spacing w:after="120" w:line="240" w:lineRule="auto"/>
        <w:rPr>
          <w:szCs w:val="28"/>
        </w:rPr>
      </w:pPr>
      <w:r w:rsidRPr="00AF36DE">
        <w:rPr>
          <w:szCs w:val="28"/>
        </w:rPr>
        <w:t>Queste tendenze sono dovute, oltre che alle debolezze strutturali delle Aree Interne, in termini di lontananza, di competenze, di debolezza di servizi minimi alla persona, alla estrema frammentazione delle politiche pubbliche che sono intervenute nel corso degli ultimi decenni, senza riuscire ad invertire la rotta discendente di questi territori. L’intervento pubblico ha spesso privilegiato solo alcune dimensioni della tutela e promozione dei saperi locali, trascurandone le altre, creando nuovi ed ulteriori squilibri nei sistemi produttivi e finendo per favorire quei fenomeni di dipendenza strutturale che ci si proponeva di combattere: si fa riferimento, ad esempio, agli interventi volti alla conservazione di specifiche capacità artigianali che, in assenza di attività di sostegno all’innovazione negli stessi segmenti produttivi, hanno trascurato completamente l’organizzazione delle stesse in direzione del mercato. Similmente si pensi anche a quegli interventi sulle competenze locali, alle quali non hanno fatto seguito attività di sostegno ad un mercato del lavoro capace di accogliere le nuove figure formate, ne di adeguamento di una cultura istituzionale non in grado di confrontarsi con gli orizzonti vasti dell’apertura dei mercati.</w:t>
      </w:r>
    </w:p>
    <w:p w:rsidR="006013CA" w:rsidRPr="00AF36DE" w:rsidRDefault="006013CA">
      <w:pPr>
        <w:spacing w:after="120" w:line="240" w:lineRule="auto"/>
        <w:rPr>
          <w:szCs w:val="28"/>
        </w:rPr>
      </w:pPr>
      <w:r w:rsidRPr="00AF36DE">
        <w:rPr>
          <w:szCs w:val="28"/>
        </w:rPr>
        <w:t xml:space="preserve">D’altro lato è indubbio che proprio una “produzione di beni fondati sulla cultura” oggi sia all’origine del successo di molte Aree Interne, nelle quali questi stessi sono espressione di una tradizione culturale radicata nella storia, e, al tempo stesso, rappresentano elementi vivi e in movimento, in grado di misurarsi con l’evoluzione della domanda e dei mercati, e infine di generare ricchezza. Basti pensare, per fare degli esempi, al comune di Maniago per le lame, ai comuni della provincia di Arezzo per l’oreficeria, a Caltagirone per le ceramiche. Questi contesti si distinguono per il fatto di produrre una classe di beni fondati su una peculiare cultura localizzata, e per quello di vendere tali beni non solo a piccole ed esclusive nicchie di clientela ma a importanti segmenti di mercato. Il rapporto stretto che lega la produzione alla cultura localizzata sta a significare che la cultura produttiva (o materiale) incorporata nei beni, è radicata in un territorio circoscritto da cui essa trae identità e capacità creativa. In altri termini è il legame con l’ambiente e la società locale, la sua storia, i circuiti di produzione di conoscenza interni alla comunità, è quanto fa esistere il prodotto come bene non casuale e non riproducibile altrove. </w:t>
      </w:r>
    </w:p>
    <w:p w:rsidR="006013CA" w:rsidRPr="00AF36DE" w:rsidRDefault="006013CA">
      <w:pPr>
        <w:spacing w:after="120" w:line="240" w:lineRule="auto"/>
        <w:rPr>
          <w:szCs w:val="28"/>
        </w:rPr>
      </w:pPr>
      <w:r w:rsidRPr="00AF36DE">
        <w:rPr>
          <w:szCs w:val="28"/>
        </w:rPr>
        <w:t xml:space="preserve">Nel quadro mutato del contesto internazionale, per immaginare gli assi di una politica nuova in grado di innescare meccanismi virtuosi, che abbia le caratteristiche di ottenere risultati visibili e misurabili in tempi ragionevoli, e che possa far leva su fondi dedicati e risorse umane, è necessario lavorare contemporaneamente sui temi dell’integrazione, della conservazione, e dell’innovazione dei saperi locali. </w:t>
      </w:r>
    </w:p>
    <w:p w:rsidR="006013CA" w:rsidRPr="00AF36DE" w:rsidRDefault="006013CA">
      <w:pPr>
        <w:spacing w:after="120" w:line="240" w:lineRule="auto"/>
        <w:rPr>
          <w:szCs w:val="28"/>
        </w:rPr>
      </w:pPr>
      <w:r w:rsidRPr="00AF36DE">
        <w:rPr>
          <w:szCs w:val="28"/>
        </w:rPr>
        <w:t>Sembra evidente, infatti, che è necessario si intervenga in maniera congiunta e contemporanea su tutti gli aspetti rilevanti del sapere locale delineati: quindi sia su una dimensione istituzionale, che concerne la capacità di saper decidere e di saper prendere le decisioni giuste, che su una dimensione</w:t>
      </w:r>
      <w:r>
        <w:rPr>
          <w:szCs w:val="28"/>
        </w:rPr>
        <w:t xml:space="preserve"> </w:t>
      </w:r>
      <w:r w:rsidRPr="00AF36DE">
        <w:rPr>
          <w:szCs w:val="28"/>
        </w:rPr>
        <w:t xml:space="preserve">organizzativa, che riguarda il saper mettere a punto le strategie e gli strumenti adatti per raggiungere i risultati, che, infine, su una dimensione più tecnico/produttiva. La capacità di affrontare contemporaneamente questi aspetti oggi appare l’unica forma possibile di intervento per rompere quella trappola del sottosviluppo della quale molti territori sono prigionieri. </w:t>
      </w:r>
    </w:p>
    <w:p w:rsidR="006013CA" w:rsidRPr="00AF36DE" w:rsidRDefault="006013CA">
      <w:pPr>
        <w:spacing w:after="120" w:line="240" w:lineRule="auto"/>
        <w:rPr>
          <w:szCs w:val="28"/>
        </w:rPr>
      </w:pPr>
      <w:r w:rsidRPr="00AF36DE">
        <w:rPr>
          <w:szCs w:val="28"/>
        </w:rPr>
        <w:t>Inoltre i casi di successo, tra le Aree Interne, mostrano che fare sviluppo a partire da fattori endogeni significa affiancare alla conservazione o alla valorizzazione di una tradizionale attività artigianale, degli elementi fortemente innovativi, spesso esogeni. Perché una cultura produttiva locale, infatti, non sia solo un fatto identitario ma possa divenire una realtà economica, è necessario mettere in campo degli interventi volti da un lato alla preservazione dei saperi locali, al sostegno di specifiche capacità, ma anche e soprattutto pensare a delle politiche che si propongano l’immissione di elementi di innovazione, modernizzazione e ibridizzazione a tutti i livelli del sapere locale.</w:t>
      </w:r>
    </w:p>
    <w:p w:rsidR="006013CA" w:rsidRPr="00AF36DE" w:rsidRDefault="006013CA">
      <w:pPr>
        <w:spacing w:after="120" w:line="240" w:lineRule="auto"/>
        <w:rPr>
          <w:szCs w:val="28"/>
        </w:rPr>
      </w:pPr>
      <w:r w:rsidRPr="00AF36DE">
        <w:rPr>
          <w:szCs w:val="28"/>
        </w:rPr>
        <w:t>Infatti per parlare di innovazione in una Area Interna non ci si può limitare a parlare di crescita di competenze, ma assume un particolare rilievo la capacità di aprirsi al mondo e di confrontarsi con altri territori, di costruirsi un capitale relazionale.</w:t>
      </w:r>
    </w:p>
    <w:p w:rsidR="006013CA" w:rsidRPr="00AF36DE" w:rsidRDefault="006013CA" w:rsidP="00034E57">
      <w:pPr>
        <w:spacing w:after="120" w:line="240" w:lineRule="auto"/>
        <w:rPr>
          <w:szCs w:val="28"/>
        </w:rPr>
      </w:pPr>
      <w:r w:rsidRPr="00AF36DE">
        <w:rPr>
          <w:szCs w:val="28"/>
        </w:rPr>
        <w:t>Infine è necessario restituire il sapere al territorio, perché quelle specifiche capacità possano trasformarsi in possibilità di futuro per chi abita le zone interne, e perché in un processo di continua rielaborazione possano rinnovarsi e ritrovare una loro collocazione in un mondo aperto. Un ruolo specifico per la formazione e la scuola, quindi, luoghi ove veicolare e rielaborare le competenze, e per individuare e costruire gli elementi per supplire alle capacità che localmente mancano, perché smarrite o inadeguate.</w:t>
      </w:r>
    </w:p>
    <w:p w:rsidR="006013CA" w:rsidRPr="004B43BD" w:rsidRDefault="006013CA" w:rsidP="004B43BD">
      <w:pPr>
        <w:spacing w:after="120" w:line="320" w:lineRule="exact"/>
        <w:rPr>
          <w:szCs w:val="28"/>
        </w:rPr>
      </w:pPr>
    </w:p>
    <w:p w:rsidR="006013CA" w:rsidRDefault="006013CA">
      <w:pPr>
        <w:spacing w:after="0" w:line="240" w:lineRule="auto"/>
        <w:rPr>
          <w:b/>
          <w:bCs/>
          <w:szCs w:val="28"/>
          <w:lang w:eastAsia="it-IT"/>
        </w:rPr>
      </w:pPr>
      <w:r>
        <w:rPr>
          <w:lang w:eastAsia="it-IT"/>
        </w:rPr>
        <w:br w:type="page"/>
      </w:r>
    </w:p>
    <w:p w:rsidR="006013CA" w:rsidRPr="00EA7C8D" w:rsidRDefault="006013CA" w:rsidP="00EA7C8D">
      <w:pPr>
        <w:pStyle w:val="Heading2"/>
        <w:spacing w:before="0" w:after="360" w:line="240" w:lineRule="auto"/>
        <w:ind w:left="709" w:hanging="709"/>
        <w:rPr>
          <w:rFonts w:ascii="Garamond" w:hAnsi="Garamond"/>
        </w:rPr>
      </w:pPr>
      <w:bookmarkStart w:id="23" w:name="_Toc356901599"/>
      <w:r w:rsidRPr="00EA7C8D">
        <w:rPr>
          <w:rFonts w:ascii="Garamond" w:hAnsi="Garamond"/>
        </w:rPr>
        <w:t>5.</w:t>
      </w:r>
      <w:r>
        <w:rPr>
          <w:rFonts w:ascii="Garamond" w:hAnsi="Garamond"/>
        </w:rPr>
        <w:tab/>
      </w:r>
      <w:r w:rsidRPr="00EA7C8D">
        <w:rPr>
          <w:rFonts w:ascii="Garamond" w:hAnsi="Garamond"/>
        </w:rPr>
        <w:t>Politica Regionale: opzioni strategiche e soluzioni di Governance</w:t>
      </w:r>
      <w:bookmarkEnd w:id="23"/>
    </w:p>
    <w:p w:rsidR="006013CA" w:rsidRPr="00EA7C8D" w:rsidRDefault="006013CA" w:rsidP="00EA7C8D">
      <w:pPr>
        <w:pStyle w:val="Heading3"/>
        <w:spacing w:before="0" w:after="240" w:line="240" w:lineRule="auto"/>
        <w:ind w:left="709" w:hanging="709"/>
        <w:rPr>
          <w:b/>
          <w:sz w:val="24"/>
          <w:szCs w:val="24"/>
        </w:rPr>
      </w:pPr>
      <w:r>
        <w:rPr>
          <w:b/>
          <w:sz w:val="24"/>
          <w:szCs w:val="24"/>
        </w:rPr>
        <w:t>5.1</w:t>
      </w:r>
      <w:r>
        <w:rPr>
          <w:b/>
          <w:sz w:val="24"/>
          <w:szCs w:val="24"/>
        </w:rPr>
        <w:tab/>
      </w:r>
      <w:bookmarkStart w:id="24" w:name="_Toc356901600"/>
      <w:r w:rsidRPr="00EA7C8D">
        <w:rPr>
          <w:b/>
          <w:sz w:val="24"/>
          <w:szCs w:val="24"/>
        </w:rPr>
        <w:t>Premessa</w:t>
      </w:r>
      <w:bookmarkEnd w:id="24"/>
    </w:p>
    <w:p w:rsidR="006013CA" w:rsidRPr="00212B77" w:rsidRDefault="006013CA" w:rsidP="00212B77">
      <w:pPr>
        <w:spacing w:after="120" w:line="240" w:lineRule="auto"/>
        <w:rPr>
          <w:szCs w:val="28"/>
        </w:rPr>
      </w:pPr>
      <w:r w:rsidRPr="00034E57">
        <w:rPr>
          <w:szCs w:val="28"/>
        </w:rPr>
        <w:t>L</w:t>
      </w:r>
      <w:r w:rsidRPr="00212B77">
        <w:rPr>
          <w:szCs w:val="28"/>
        </w:rPr>
        <w:t>e aree interne sono “una questione nazionale” e non solo locale:</w:t>
      </w:r>
    </w:p>
    <w:p w:rsidR="006013CA" w:rsidRPr="00212B77" w:rsidRDefault="006013CA" w:rsidP="00212B77">
      <w:pPr>
        <w:numPr>
          <w:ilvl w:val="0"/>
          <w:numId w:val="24"/>
        </w:numPr>
        <w:spacing w:after="120" w:line="240" w:lineRule="auto"/>
        <w:contextualSpacing/>
        <w:rPr>
          <w:szCs w:val="28"/>
        </w:rPr>
      </w:pPr>
      <w:r w:rsidRPr="00212B77">
        <w:rPr>
          <w:szCs w:val="28"/>
        </w:rPr>
        <w:t>Perché</w:t>
      </w:r>
      <w:r>
        <w:rPr>
          <w:szCs w:val="28"/>
        </w:rPr>
        <w:t xml:space="preserve"> l’andamento demografico e il mancato sviluppo dipendono anche e in modo rilevante dal</w:t>
      </w:r>
      <w:r w:rsidRPr="00AF36DE">
        <w:rPr>
          <w:szCs w:val="28"/>
        </w:rPr>
        <w:t>l’insufficiente offerta di servizi/beni di base</w:t>
      </w:r>
      <w:r w:rsidRPr="00212B77">
        <w:rPr>
          <w:szCs w:val="28"/>
        </w:rPr>
        <w:t xml:space="preserve"> (scuola, sanità e mobilità) </w:t>
      </w:r>
      <w:r>
        <w:rPr>
          <w:szCs w:val="28"/>
        </w:rPr>
        <w:t xml:space="preserve">– che </w:t>
      </w:r>
      <w:r w:rsidRPr="00212B77">
        <w:rPr>
          <w:szCs w:val="28"/>
        </w:rPr>
        <w:t xml:space="preserve">riguarda una quota rilevante della popolazione, destinata ad aumentare in assenza di interventi appropriati e perché tale insufficienza </w:t>
      </w:r>
      <w:r w:rsidRPr="00AF36DE">
        <w:rPr>
          <w:szCs w:val="28"/>
        </w:rPr>
        <w:t>dipende largamente</w:t>
      </w:r>
      <w:r>
        <w:rPr>
          <w:szCs w:val="28"/>
        </w:rPr>
        <w:t xml:space="preserve"> </w:t>
      </w:r>
      <w:r w:rsidRPr="00AF36DE">
        <w:rPr>
          <w:szCs w:val="28"/>
        </w:rPr>
        <w:t>da scelte nazionali</w:t>
      </w:r>
      <w:r w:rsidRPr="00212B77">
        <w:rPr>
          <w:szCs w:val="28"/>
        </w:rPr>
        <w:t xml:space="preserve"> del passato e anche di recente impostazione </w:t>
      </w:r>
      <w:r w:rsidRPr="00AF36DE">
        <w:rPr>
          <w:szCs w:val="28"/>
        </w:rPr>
        <w:t>che non hanno considerato la questione delle aree interne</w:t>
      </w:r>
      <w:r>
        <w:rPr>
          <w:szCs w:val="28"/>
        </w:rPr>
        <w:t>;</w:t>
      </w:r>
      <w:r w:rsidRPr="00212B77">
        <w:rPr>
          <w:szCs w:val="28"/>
        </w:rPr>
        <w:t xml:space="preserve"> </w:t>
      </w:r>
    </w:p>
    <w:p w:rsidR="006013CA" w:rsidRPr="00212B77" w:rsidRDefault="006013CA" w:rsidP="00212B77">
      <w:pPr>
        <w:numPr>
          <w:ilvl w:val="0"/>
          <w:numId w:val="24"/>
        </w:numPr>
        <w:spacing w:after="120" w:line="240" w:lineRule="auto"/>
        <w:contextualSpacing/>
        <w:rPr>
          <w:szCs w:val="28"/>
        </w:rPr>
      </w:pPr>
      <w:r w:rsidRPr="00212B77">
        <w:rPr>
          <w:szCs w:val="28"/>
        </w:rPr>
        <w:t xml:space="preserve">perché </w:t>
      </w:r>
      <w:r w:rsidRPr="00AF36DE">
        <w:rPr>
          <w:szCs w:val="28"/>
        </w:rPr>
        <w:t xml:space="preserve">la degenerazione del capitale naturale e storico-architettonico, l’alterazione degli equilibri eco-sistemici e l’instabilità dei </w:t>
      </w:r>
      <w:r w:rsidRPr="00212B77">
        <w:rPr>
          <w:szCs w:val="28"/>
        </w:rPr>
        <w:t xml:space="preserve">suoli in queste aree </w:t>
      </w:r>
      <w:r w:rsidRPr="00835550">
        <w:rPr>
          <w:szCs w:val="28"/>
        </w:rPr>
        <w:t>m</w:t>
      </w:r>
      <w:r w:rsidRPr="00212B77">
        <w:rPr>
          <w:szCs w:val="28"/>
        </w:rPr>
        <w:t xml:space="preserve">ettono a repentaglio la sicurezza dei cittadini e </w:t>
      </w:r>
      <w:r w:rsidRPr="00AF36DE">
        <w:rPr>
          <w:szCs w:val="28"/>
        </w:rPr>
        <w:t>generano cambiamenti</w:t>
      </w:r>
      <w:r w:rsidRPr="00212B77">
        <w:rPr>
          <w:szCs w:val="28"/>
        </w:rPr>
        <w:t xml:space="preserve"> difficilmente reversibili, capaci di modificare i caratteri identitari </w:t>
      </w:r>
      <w:r w:rsidRPr="00AF36DE">
        <w:rPr>
          <w:szCs w:val="28"/>
        </w:rPr>
        <w:t>del Paese intero</w:t>
      </w:r>
      <w:r>
        <w:rPr>
          <w:szCs w:val="28"/>
        </w:rPr>
        <w:t>;</w:t>
      </w:r>
    </w:p>
    <w:p w:rsidR="006013CA" w:rsidRPr="00212B77" w:rsidRDefault="006013CA" w:rsidP="00212B77">
      <w:pPr>
        <w:numPr>
          <w:ilvl w:val="0"/>
          <w:numId w:val="24"/>
        </w:numPr>
        <w:spacing w:after="120" w:line="240" w:lineRule="auto"/>
        <w:contextualSpacing/>
        <w:rPr>
          <w:szCs w:val="28"/>
        </w:rPr>
      </w:pPr>
      <w:r w:rsidRPr="00212B77">
        <w:rPr>
          <w:szCs w:val="28"/>
        </w:rPr>
        <w:t xml:space="preserve">perché </w:t>
      </w:r>
      <w:r w:rsidRPr="00AF36DE">
        <w:rPr>
          <w:szCs w:val="28"/>
        </w:rPr>
        <w:t xml:space="preserve">il capitale territoriale non utilizzato in queste aree </w:t>
      </w:r>
      <w:r w:rsidRPr="00212B77">
        <w:rPr>
          <w:szCs w:val="28"/>
        </w:rPr>
        <w:t xml:space="preserve">è ingente e il potenziale produttivo non sfruttato ha, pertanto, </w:t>
      </w:r>
      <w:r w:rsidRPr="00AF36DE">
        <w:rPr>
          <w:szCs w:val="28"/>
        </w:rPr>
        <w:t>rilievo su scala nazional</w:t>
      </w:r>
      <w:r w:rsidRPr="00212B77">
        <w:rPr>
          <w:szCs w:val="28"/>
        </w:rPr>
        <w:t>e</w:t>
      </w:r>
      <w:r>
        <w:rPr>
          <w:szCs w:val="28"/>
        </w:rPr>
        <w:t>.</w:t>
      </w:r>
    </w:p>
    <w:p w:rsidR="006013CA" w:rsidRPr="00212B77" w:rsidRDefault="006013CA" w:rsidP="00EA7C8D">
      <w:pPr>
        <w:spacing w:after="120" w:line="240" w:lineRule="auto"/>
        <w:rPr>
          <w:szCs w:val="28"/>
        </w:rPr>
      </w:pPr>
      <w:r>
        <w:rPr>
          <w:szCs w:val="28"/>
        </w:rPr>
        <w:t>Complessivamente, quindi,</w:t>
      </w:r>
      <w:r w:rsidRPr="00212B77">
        <w:rPr>
          <w:szCs w:val="28"/>
        </w:rPr>
        <w:t xml:space="preserve"> la situazione tendenziale, in assenza di un cambio di passo, non comporta solo perdite di opportunità, ma anche costi monetari da fronteggiare a livello sistemico</w:t>
      </w:r>
      <w:r>
        <w:rPr>
          <w:szCs w:val="28"/>
        </w:rPr>
        <w:t>.</w:t>
      </w:r>
    </w:p>
    <w:p w:rsidR="006013CA" w:rsidRPr="00212B77" w:rsidRDefault="006013CA">
      <w:pPr>
        <w:spacing w:after="120" w:line="240" w:lineRule="auto"/>
        <w:rPr>
          <w:szCs w:val="28"/>
        </w:rPr>
      </w:pPr>
      <w:r w:rsidRPr="00212B77">
        <w:rPr>
          <w:szCs w:val="28"/>
        </w:rPr>
        <w:t>Inoltre</w:t>
      </w:r>
      <w:r>
        <w:rPr>
          <w:szCs w:val="28"/>
        </w:rPr>
        <w:t xml:space="preserve"> </w:t>
      </w:r>
      <w:r w:rsidRPr="00212B77">
        <w:rPr>
          <w:szCs w:val="28"/>
        </w:rPr>
        <w:t xml:space="preserve">le loro differenze sono tali che </w:t>
      </w:r>
      <w:r>
        <w:rPr>
          <w:szCs w:val="28"/>
        </w:rPr>
        <w:t>“</w:t>
      </w:r>
      <w:r w:rsidRPr="00212B77">
        <w:rPr>
          <w:szCs w:val="28"/>
        </w:rPr>
        <w:t>azioni</w:t>
      </w:r>
      <w:r>
        <w:rPr>
          <w:szCs w:val="28"/>
        </w:rPr>
        <w:t>” di policy</w:t>
      </w:r>
      <w:r w:rsidRPr="00212B77">
        <w:rPr>
          <w:szCs w:val="28"/>
        </w:rPr>
        <w:t xml:space="preserve"> lasciate solo all’impulso locale, pur indispensabile, potrebbero non cogliere la necessità e </w:t>
      </w:r>
      <w:r>
        <w:rPr>
          <w:szCs w:val="28"/>
        </w:rPr>
        <w:t>l’</w:t>
      </w:r>
      <w:r w:rsidRPr="00212B77">
        <w:rPr>
          <w:szCs w:val="28"/>
        </w:rPr>
        <w:t xml:space="preserve">urgenza di tener conto di tendenze sistemiche : C’’è quindi bisogno di </w:t>
      </w:r>
      <w:r w:rsidRPr="00212B77">
        <w:rPr>
          <w:b/>
          <w:szCs w:val="28"/>
        </w:rPr>
        <w:t xml:space="preserve">uno sguardo “nazionale” </w:t>
      </w:r>
      <w:r w:rsidRPr="00212B77">
        <w:rPr>
          <w:szCs w:val="28"/>
        </w:rPr>
        <w:t xml:space="preserve">che ne percepisca la rilevanza intera e di una Strategia nazionale che serva </w:t>
      </w:r>
      <w:r w:rsidRPr="00212B77">
        <w:rPr>
          <w:b/>
          <w:szCs w:val="28"/>
        </w:rPr>
        <w:t xml:space="preserve">a dare visione, </w:t>
      </w:r>
      <w:r>
        <w:rPr>
          <w:b/>
          <w:szCs w:val="28"/>
        </w:rPr>
        <w:t xml:space="preserve">obiettivi, </w:t>
      </w:r>
      <w:r w:rsidRPr="00212B77">
        <w:rPr>
          <w:b/>
          <w:szCs w:val="28"/>
        </w:rPr>
        <w:t>coerenza</w:t>
      </w:r>
      <w:r>
        <w:rPr>
          <w:b/>
          <w:szCs w:val="28"/>
        </w:rPr>
        <w:t xml:space="preserve">, </w:t>
      </w:r>
      <w:r w:rsidRPr="00212B77">
        <w:rPr>
          <w:b/>
          <w:szCs w:val="28"/>
        </w:rPr>
        <w:t>stimoli</w:t>
      </w:r>
      <w:r>
        <w:rPr>
          <w:b/>
          <w:szCs w:val="28"/>
        </w:rPr>
        <w:t xml:space="preserve"> e</w:t>
      </w:r>
      <w:r w:rsidRPr="00212B77">
        <w:rPr>
          <w:b/>
          <w:szCs w:val="28"/>
        </w:rPr>
        <w:t xml:space="preserve"> scosse, allo sforzo progettuale richiesto alle coalizioni locali. </w:t>
      </w:r>
    </w:p>
    <w:p w:rsidR="006013CA" w:rsidRDefault="006013CA">
      <w:pPr>
        <w:spacing w:after="120" w:line="240" w:lineRule="auto"/>
        <w:rPr>
          <w:szCs w:val="28"/>
        </w:rPr>
      </w:pPr>
      <w:r w:rsidRPr="00212B77">
        <w:rPr>
          <w:szCs w:val="28"/>
        </w:rPr>
        <w:t>L’azione pubblica più focalizzata proposta dalla strategia si configura come lo strumento per saltare dallo scenario tendenziale a quello desiderato. Tale azione pubblica, è bene chiarirlo, non è limitata agli interventi che potranno prodursi con le risorse aggiuntive; la strategia nazionale richiesta è più ampia e chiama in causa molti soggetti a molti livelli di governo</w:t>
      </w:r>
      <w:r>
        <w:rPr>
          <w:szCs w:val="28"/>
        </w:rPr>
        <w:t>, primi fra tutti proprio tutti quei soggetti responsabili del disegno e della gestione dell’offerta dei servizi di istruzione, della salute e della mobilità in favore di tutta quella parte della popolazione che risiede in queste aree.</w:t>
      </w:r>
    </w:p>
    <w:p w:rsidR="006013CA" w:rsidRPr="00212B77" w:rsidRDefault="006013CA">
      <w:pPr>
        <w:spacing w:after="120" w:line="240" w:lineRule="auto"/>
        <w:rPr>
          <w:szCs w:val="28"/>
        </w:rPr>
      </w:pPr>
      <w:r w:rsidRPr="00A269F3">
        <w:rPr>
          <w:szCs w:val="28"/>
        </w:rPr>
        <w:t>Bisogna infatti risolvere l’asimmetria conoscitiva e rimettere al centro della politica la convenienza reciproca che hanno: le popolazioni locali e le corrispondenti Istituzioni</w:t>
      </w:r>
      <w:r>
        <w:rPr>
          <w:szCs w:val="28"/>
        </w:rPr>
        <w:t xml:space="preserve"> </w:t>
      </w:r>
      <w:r w:rsidRPr="00A269F3">
        <w:rPr>
          <w:szCs w:val="28"/>
        </w:rPr>
        <w:t xml:space="preserve">a riconquistare la capacità di esprimere i bisogni di servizi delle popolazioni delle aree interne, anche indicandone </w:t>
      </w:r>
      <w:r w:rsidRPr="00A269F3">
        <w:rPr>
          <w:b/>
          <w:szCs w:val="28"/>
        </w:rPr>
        <w:t>soluzioni di policy innovative</w:t>
      </w:r>
      <w:r w:rsidRPr="00A269F3">
        <w:rPr>
          <w:szCs w:val="28"/>
        </w:rPr>
        <w:t xml:space="preserve"> – e l’occasione che questa finestra di policy costituisce per disegnare la revisione della spesa in favore della scuola, della salute e dei servizi per la mobilità, in una maniera più attenta ai bisogni di questi specifici territori, e quindi della popolazione.</w:t>
      </w:r>
      <w:r>
        <w:rPr>
          <w:szCs w:val="28"/>
        </w:rPr>
        <w:t xml:space="preserve"> </w:t>
      </w:r>
    </w:p>
    <w:p w:rsidR="006013CA" w:rsidRPr="00212B77" w:rsidRDefault="006013CA">
      <w:pPr>
        <w:spacing w:after="120" w:line="240" w:lineRule="auto"/>
        <w:rPr>
          <w:szCs w:val="28"/>
        </w:rPr>
      </w:pPr>
      <w:r w:rsidRPr="00212B77">
        <w:rPr>
          <w:szCs w:val="28"/>
        </w:rPr>
        <w:t>È utile, pertanto, distinguere concettualmente il complesso dell’azione pubblica necessaria al salto in tre blocchi:</w:t>
      </w:r>
    </w:p>
    <w:p w:rsidR="006013CA" w:rsidRPr="00212B77" w:rsidRDefault="006013CA" w:rsidP="00212B77">
      <w:pPr>
        <w:numPr>
          <w:ilvl w:val="0"/>
          <w:numId w:val="16"/>
        </w:numPr>
        <w:spacing w:after="120" w:line="240" w:lineRule="auto"/>
        <w:rPr>
          <w:szCs w:val="28"/>
        </w:rPr>
      </w:pPr>
      <w:r w:rsidRPr="00212B77">
        <w:rPr>
          <w:szCs w:val="28"/>
        </w:rPr>
        <w:t xml:space="preserve">Le azioni pubbliche specifiche e aggiuntive da finanziare innanzitutto con le disponibilità più certe, quelle dei </w:t>
      </w:r>
      <w:r w:rsidRPr="00212B77">
        <w:rPr>
          <w:b/>
          <w:szCs w:val="28"/>
        </w:rPr>
        <w:t>fondi comunitari</w:t>
      </w:r>
      <w:r w:rsidRPr="00212B77">
        <w:rPr>
          <w:szCs w:val="28"/>
        </w:rPr>
        <w:t xml:space="preserve"> 2014-2020 (ma anche per quanto si mostrerà praticabile con il FSC) in base</w:t>
      </w:r>
      <w:r>
        <w:rPr>
          <w:szCs w:val="28"/>
        </w:rPr>
        <w:t xml:space="preserve"> </w:t>
      </w:r>
      <w:r w:rsidRPr="00212B77">
        <w:rPr>
          <w:szCs w:val="28"/>
        </w:rPr>
        <w:t xml:space="preserve">a un “Quadro strategico comune da esplicitare nell’Accordo di Partenariato”: questi interventi vanno immaginati come un fattore propulsivo, ma </w:t>
      </w:r>
      <w:r>
        <w:rPr>
          <w:szCs w:val="28"/>
        </w:rPr>
        <w:t>parziale</w:t>
      </w:r>
      <w:r w:rsidRPr="00212B77">
        <w:rPr>
          <w:szCs w:val="28"/>
        </w:rPr>
        <w:t>, di tutto il progetto; si tratta di interventi essenziali, ma in se certamente insufficienti a produrre il risultato desiderato.</w:t>
      </w:r>
    </w:p>
    <w:p w:rsidR="006013CA" w:rsidRPr="00212B77" w:rsidRDefault="006013CA" w:rsidP="00212B77">
      <w:pPr>
        <w:numPr>
          <w:ilvl w:val="0"/>
          <w:numId w:val="16"/>
        </w:numPr>
        <w:spacing w:after="120" w:line="240" w:lineRule="auto"/>
        <w:rPr>
          <w:szCs w:val="28"/>
        </w:rPr>
      </w:pPr>
      <w:r w:rsidRPr="00212B77">
        <w:rPr>
          <w:szCs w:val="28"/>
        </w:rPr>
        <w:t xml:space="preserve">L’orientamento rinnovato di alcune </w:t>
      </w:r>
      <w:r w:rsidRPr="00212B77">
        <w:rPr>
          <w:b/>
          <w:szCs w:val="28"/>
        </w:rPr>
        <w:t xml:space="preserve">politiche settoriali ordinarie cruciali </w:t>
      </w:r>
      <w:r w:rsidRPr="00212B77">
        <w:rPr>
          <w:szCs w:val="28"/>
        </w:rPr>
        <w:t>(definite a più livelli di responsabilità), in primo luogo salute, scuola e mobilità, verso ben definite priorità e indirizzi territoriali</w:t>
      </w:r>
      <w:r w:rsidRPr="00212B77">
        <w:rPr>
          <w:b/>
          <w:szCs w:val="28"/>
        </w:rPr>
        <w:t xml:space="preserve"> di assunzione di responsabilità nei confronti delle comunità che vivono nelle aree interne </w:t>
      </w:r>
      <w:r w:rsidRPr="00AF36DE">
        <w:rPr>
          <w:szCs w:val="28"/>
        </w:rPr>
        <w:t>e a cui si chiede uno sforzo assai pregnante di partecipazione e di rinnovament</w:t>
      </w:r>
      <w:r w:rsidRPr="00212B77">
        <w:rPr>
          <w:szCs w:val="28"/>
        </w:rPr>
        <w:t xml:space="preserve">o: questa rinnovata attenzione delle politiche ordinarie </w:t>
      </w:r>
      <w:r w:rsidRPr="00835550">
        <w:rPr>
          <w:szCs w:val="28"/>
        </w:rPr>
        <w:t>essenzia</w:t>
      </w:r>
      <w:r w:rsidRPr="00212B77">
        <w:rPr>
          <w:szCs w:val="28"/>
        </w:rPr>
        <w:t>li costituisce un requisito essenziale per la probabilità di successo e quindi la credibilità della strategia.</w:t>
      </w:r>
    </w:p>
    <w:p w:rsidR="006013CA" w:rsidRPr="00212B77" w:rsidRDefault="006013CA" w:rsidP="00212B77">
      <w:pPr>
        <w:numPr>
          <w:ilvl w:val="0"/>
          <w:numId w:val="16"/>
        </w:numPr>
        <w:spacing w:after="120" w:line="240" w:lineRule="auto"/>
        <w:rPr>
          <w:szCs w:val="28"/>
        </w:rPr>
      </w:pPr>
      <w:r w:rsidRPr="00212B77">
        <w:rPr>
          <w:szCs w:val="28"/>
        </w:rPr>
        <w:t>Alcune ulteriori misure nazionali, di tipo fiscale, assicurativo o di altra natura su cui da più parti sono pervenute sollecitazioni fondate e che vanno rese attuali quali strumenti operativi complementari, e forse essenziali, al successo della strategia</w:t>
      </w:r>
      <w:r w:rsidRPr="00212B77">
        <w:rPr>
          <w:szCs w:val="28"/>
          <w:vertAlign w:val="superscript"/>
        </w:rPr>
        <w:footnoteReference w:id="25"/>
      </w:r>
      <w:r w:rsidRPr="00212B77">
        <w:rPr>
          <w:szCs w:val="28"/>
        </w:rPr>
        <w:t>.</w:t>
      </w:r>
    </w:p>
    <w:p w:rsidR="006013CA" w:rsidRPr="00EA7C8D" w:rsidRDefault="006013CA" w:rsidP="00EA7C8D">
      <w:pPr>
        <w:pStyle w:val="Heading3"/>
        <w:spacing w:before="0" w:after="240" w:line="240" w:lineRule="auto"/>
        <w:ind w:left="709" w:hanging="709"/>
        <w:rPr>
          <w:b/>
          <w:sz w:val="24"/>
          <w:szCs w:val="24"/>
        </w:rPr>
      </w:pPr>
      <w:bookmarkStart w:id="25" w:name="_Toc356901601"/>
      <w:r w:rsidRPr="00EA7C8D">
        <w:rPr>
          <w:b/>
          <w:sz w:val="24"/>
          <w:szCs w:val="24"/>
        </w:rPr>
        <w:t>5.2</w:t>
      </w:r>
      <w:r w:rsidRPr="00EA7C8D">
        <w:rPr>
          <w:b/>
          <w:sz w:val="24"/>
          <w:szCs w:val="24"/>
        </w:rPr>
        <w:tab/>
        <w:t>Le azioni pubbliche aggiuntive da finanziare (innanzitutto) con i fondi comunitari</w:t>
      </w:r>
      <w:bookmarkEnd w:id="25"/>
    </w:p>
    <w:p w:rsidR="006013CA" w:rsidRDefault="006013CA">
      <w:pPr>
        <w:spacing w:after="120" w:line="240" w:lineRule="auto"/>
        <w:rPr>
          <w:szCs w:val="28"/>
        </w:rPr>
      </w:pPr>
      <w:r w:rsidRPr="00212B77">
        <w:rPr>
          <w:szCs w:val="28"/>
        </w:rPr>
        <w:t>In questo ambito, quello delle politiche aggiuntive di sviluppo territoriale, si chiama in causa lo sforzo di molteplici attori, di rango nazionale, regionale e territoriale. In quel che segue si denomina Centro l’insieme di responsabilità centrali che collaboreranno in maniera congiunta per fornire alla strategia la garanzia e lo sforzo di un’attenzione di ‘sguardo nazionale’ a beneficio delle comunità territoriali interessate e per l’interlocuzione stabile e costruttiva con le responsabilità regionali e con quelle territoriali intermedie.</w:t>
      </w:r>
    </w:p>
    <w:p w:rsidR="006013CA" w:rsidRPr="00212B77" w:rsidRDefault="006013CA">
      <w:pPr>
        <w:spacing w:after="120" w:line="240" w:lineRule="auto"/>
        <w:rPr>
          <w:szCs w:val="28"/>
        </w:rPr>
      </w:pPr>
      <w:r w:rsidRPr="00A269F3">
        <w:rPr>
          <w:szCs w:val="28"/>
        </w:rPr>
        <w:t>Centro e Regioni – assieme – garantiscono una politica ordinaria coerente nel campo dell’offerta, della gestione e della qualità dei servizi della salute, dell’istruzione e della mobilità.</w:t>
      </w:r>
    </w:p>
    <w:p w:rsidR="006013CA" w:rsidRPr="00212B77" w:rsidRDefault="006013CA">
      <w:pPr>
        <w:spacing w:after="120" w:line="240" w:lineRule="auto"/>
        <w:rPr>
          <w:szCs w:val="28"/>
        </w:rPr>
      </w:pPr>
      <w:r w:rsidRPr="00212B77">
        <w:rPr>
          <w:szCs w:val="28"/>
        </w:rPr>
        <w:t xml:space="preserve">Il </w:t>
      </w:r>
      <w:r w:rsidRPr="00212B77">
        <w:rPr>
          <w:b/>
          <w:szCs w:val="28"/>
        </w:rPr>
        <w:t xml:space="preserve">Centro </w:t>
      </w:r>
      <w:r w:rsidRPr="00212B77">
        <w:rPr>
          <w:szCs w:val="28"/>
        </w:rPr>
        <w:t>propone e garantisce, una volta condivisa</w:t>
      </w:r>
      <w:r>
        <w:rPr>
          <w:szCs w:val="28"/>
        </w:rPr>
        <w:t xml:space="preserve"> con le Regioni e</w:t>
      </w:r>
      <w:r w:rsidRPr="00212B77">
        <w:rPr>
          <w:szCs w:val="28"/>
        </w:rPr>
        <w:t xml:space="preserve"> tra i soggetti chiamati in causa, la sorveglianza sull’applicazione della Strategia Nazionale che troverà, per le parti utili, anche declinazione nell’Accordo di Partenariato – documento guida della politica regionale - e porta avanti un’”azione di Metodo” attraverso una specifica attività progettuale, questo anche attraverso un programma di rete per la costituzione di una Federazione dei progetti che concorrono al raggiungimento degli Obiettivi della Strategia Nazionale delle Aree Interne. </w:t>
      </w:r>
    </w:p>
    <w:p w:rsidR="006013CA" w:rsidRPr="00212B77" w:rsidRDefault="006013CA">
      <w:pPr>
        <w:spacing w:after="120" w:line="240" w:lineRule="auto"/>
        <w:rPr>
          <w:szCs w:val="28"/>
        </w:rPr>
      </w:pPr>
      <w:r w:rsidRPr="00212B77">
        <w:rPr>
          <w:szCs w:val="28"/>
        </w:rPr>
        <w:t>L’Accordo di Partenariato stabilisce gli Obiettivi per le Aree Interne e le condizionalità e requisiti di accesso per le iniziative da finanziare; su questi obiettivi il Centro promuove (e monitora) iniziative di integrazione tra la politica di sviluppo rurale, politiche nel campo dei servizi alla popolazione, e politiche di coesione; e promuove un’azione di apprendimento metodologico basata su un consistente sforzo progettuale.</w:t>
      </w:r>
    </w:p>
    <w:p w:rsidR="006013CA" w:rsidRPr="00212B77" w:rsidRDefault="006013CA">
      <w:pPr>
        <w:spacing w:after="120" w:line="240" w:lineRule="auto"/>
        <w:rPr>
          <w:szCs w:val="28"/>
        </w:rPr>
      </w:pPr>
      <w:r w:rsidRPr="00212B77">
        <w:rPr>
          <w:szCs w:val="28"/>
        </w:rPr>
        <w:t xml:space="preserve">Le </w:t>
      </w:r>
      <w:r w:rsidRPr="00212B77">
        <w:rPr>
          <w:b/>
          <w:szCs w:val="28"/>
        </w:rPr>
        <w:t>Regioni</w:t>
      </w:r>
      <w:r w:rsidRPr="00212B77">
        <w:rPr>
          <w:szCs w:val="28"/>
        </w:rPr>
        <w:t xml:space="preserve"> gestiscono i programmi operativi regionali e i programmi di sviluppo rurale e, pertanto, per questa via sono i primi finanziatori delle iniziative della Strategia condivisa. In particolare le Regioni – per la loro vicinanza ai territori e per il fatto di gestire materie rilevanti per la realizzazione della strategia (gestione dei programmi regionali, programmazione regionale e territoriale, salute) saranno coinvolte anche nell’azione di metodo progettuale e potranno loro stesse partecipare – con progetti da loro gestiti – alla federazione di progetti (vedi di seguito).</w:t>
      </w:r>
    </w:p>
    <w:p w:rsidR="006013CA" w:rsidRPr="00212B77" w:rsidRDefault="006013CA">
      <w:pPr>
        <w:spacing w:after="120" w:line="240" w:lineRule="auto"/>
        <w:rPr>
          <w:szCs w:val="28"/>
        </w:rPr>
      </w:pPr>
      <w:r w:rsidRPr="00212B77">
        <w:rPr>
          <w:szCs w:val="28"/>
        </w:rPr>
        <w:t>I</w:t>
      </w:r>
      <w:r>
        <w:rPr>
          <w:szCs w:val="28"/>
        </w:rPr>
        <w:t xml:space="preserve"> </w:t>
      </w:r>
      <w:r w:rsidRPr="008D7138">
        <w:rPr>
          <w:b/>
          <w:szCs w:val="28"/>
        </w:rPr>
        <w:t xml:space="preserve">Comuni </w:t>
      </w:r>
      <w:r w:rsidRPr="00212B77">
        <w:rPr>
          <w:szCs w:val="28"/>
        </w:rPr>
        <w:t xml:space="preserve">sono ancora l’unità di base del processo di decisione politica ma non sono più, nella maggior parte dei casi già da alcuni decenni, il livello territoriale all’interno del quale avvengono i processi di auto-organizzazione sociale – l’areale in cui le famiglie e le imprese soddisfano la loro domanda di beni, servizi e socializzazione, costruiscono i loro piani di vita e di investimento. I nuovi livelli territoriali di auto-organizzazione sono, oggi, </w:t>
      </w:r>
      <w:r w:rsidRPr="00212B77">
        <w:rPr>
          <w:b/>
          <w:szCs w:val="28"/>
        </w:rPr>
        <w:t xml:space="preserve">aggregazioni di comuni contigui </w:t>
      </w:r>
      <w:r w:rsidRPr="00212B77">
        <w:rPr>
          <w:szCs w:val="28"/>
        </w:rPr>
        <w:t>– sistemi locali intercomunali – che presentano un elevato</w:t>
      </w:r>
      <w:r>
        <w:rPr>
          <w:szCs w:val="28"/>
        </w:rPr>
        <w:t xml:space="preserve"> </w:t>
      </w:r>
      <w:r w:rsidRPr="00212B77">
        <w:rPr>
          <w:szCs w:val="28"/>
        </w:rPr>
        <w:t xml:space="preserve">livello – a moduli variabili - di integrazione funzionale. </w:t>
      </w:r>
    </w:p>
    <w:p w:rsidR="006013CA" w:rsidRPr="00212B77" w:rsidRDefault="006013CA">
      <w:pPr>
        <w:spacing w:after="120" w:line="240" w:lineRule="auto"/>
        <w:rPr>
          <w:szCs w:val="28"/>
        </w:rPr>
      </w:pPr>
      <w:r w:rsidRPr="00212B77">
        <w:rPr>
          <w:szCs w:val="28"/>
        </w:rPr>
        <w:t xml:space="preserve">I sistemi locali intercomunali sono i nuovi nodi dell’organizzazione territoriale e sono anche le unità alle quali si devono definire le strategie di sviluppo. Per alcuni servizi che richiedono una “visione di area vasta” e che sono di loro competenza – come ad esempio la mobilità – anche le Province costituiranno un interlocutore rilevante nell’ottica della </w:t>
      </w:r>
      <w:r w:rsidRPr="00212B77">
        <w:rPr>
          <w:i/>
          <w:szCs w:val="28"/>
        </w:rPr>
        <w:t>governance</w:t>
      </w:r>
      <w:r w:rsidRPr="00212B77">
        <w:rPr>
          <w:szCs w:val="28"/>
        </w:rPr>
        <w:t xml:space="preserve"> multilivello. </w:t>
      </w:r>
    </w:p>
    <w:p w:rsidR="006013CA" w:rsidRPr="00212B77" w:rsidRDefault="006013CA">
      <w:pPr>
        <w:spacing w:after="120" w:line="240" w:lineRule="auto"/>
        <w:rPr>
          <w:szCs w:val="28"/>
        </w:rPr>
      </w:pPr>
      <w:r>
        <w:rPr>
          <w:szCs w:val="28"/>
        </w:rPr>
        <w:t>Nell’itinerario che ha portato alla stesura di questo documento, t</w:t>
      </w:r>
      <w:r w:rsidRPr="00212B77">
        <w:rPr>
          <w:szCs w:val="28"/>
        </w:rPr>
        <w:t>re sono i blocchi di organizzazione dell’iniziativa</w:t>
      </w:r>
      <w:r w:rsidRPr="00212B77">
        <w:rPr>
          <w:i/>
          <w:szCs w:val="28"/>
        </w:rPr>
        <w:t xml:space="preserve"> </w:t>
      </w:r>
      <w:r w:rsidRPr="00212B77">
        <w:rPr>
          <w:szCs w:val="28"/>
        </w:rPr>
        <w:t>che si profilano per l’intervento della politica regionale in favore delle aree interne</w:t>
      </w:r>
      <w:r>
        <w:rPr>
          <w:szCs w:val="28"/>
        </w:rPr>
        <w:t xml:space="preserve">: si elencano tutte e tre perché </w:t>
      </w:r>
      <w:r w:rsidRPr="008D7138">
        <w:rPr>
          <w:szCs w:val="28"/>
          <w:highlight w:val="yellow"/>
        </w:rPr>
        <w:t xml:space="preserve"> </w:t>
      </w:r>
      <w:r w:rsidRPr="00A269F3">
        <w:rPr>
          <w:szCs w:val="28"/>
        </w:rPr>
        <w:t>vanno considerati come “matriosche” (una soluzione dentro l’altra): solo il terzo però ha quella portata innovativa necessaria per innescare effettivamente il cambiamento.</w:t>
      </w:r>
      <w:r>
        <w:rPr>
          <w:szCs w:val="28"/>
        </w:rPr>
        <w:t xml:space="preserve"> </w:t>
      </w:r>
    </w:p>
    <w:p w:rsidR="006013CA" w:rsidRPr="00212B77" w:rsidRDefault="006013CA">
      <w:pPr>
        <w:numPr>
          <w:ilvl w:val="1"/>
          <w:numId w:val="13"/>
        </w:numPr>
        <w:spacing w:after="120" w:line="240" w:lineRule="auto"/>
        <w:rPr>
          <w:szCs w:val="28"/>
        </w:rPr>
      </w:pPr>
      <w:r w:rsidRPr="00212B77">
        <w:rPr>
          <w:szCs w:val="28"/>
        </w:rPr>
        <w:t>Il primo è un’</w:t>
      </w:r>
      <w:r w:rsidRPr="00212B77">
        <w:rPr>
          <w:b/>
          <w:szCs w:val="28"/>
        </w:rPr>
        <w:t>ipotesi minimalista</w:t>
      </w:r>
      <w:r>
        <w:rPr>
          <w:b/>
          <w:szCs w:val="28"/>
        </w:rPr>
        <w:t>.</w:t>
      </w:r>
      <w:r w:rsidRPr="00212B77">
        <w:rPr>
          <w:szCs w:val="28"/>
        </w:rPr>
        <w:t xml:space="preserve"> La strategia per le aree interne viene attuata innanzitutto dalle Regioni attraverso i Programmi operativi regionali e i PSR, destinando anche una quota di risorse specifiche per le aree interne e definendo gli strumenti appropriati per queste aree. Tra gli strumenti utilizzabili dalle Regioni per assicurare insieme orientamento strategico e mobilitazione degli attori si segnalano il </w:t>
      </w:r>
      <w:r w:rsidRPr="00212B77">
        <w:rPr>
          <w:i/>
          <w:szCs w:val="28"/>
        </w:rPr>
        <w:t>Community Local Lead Development (CLLD)</w:t>
      </w:r>
      <w:r w:rsidRPr="00212B77">
        <w:rPr>
          <w:szCs w:val="28"/>
        </w:rPr>
        <w:t xml:space="preserve"> e l’Accordo di Programma. Nell’Accordo di Partenariato vengono stabilite tre condizioni essenziali da rispettare. La prima non è una condizione strettamente operativa su singole progettualità, ma è condizione di credibilità complessiva e si presenta come impegno collettivo delle responsabilità: 1) i Ministeri della Salute, dell’Istruzione e delle Infrastrutture, le Regioni e le Province si impegnano per l’intero periodo a tenere conto, nel disegno normativo e nell’azione amministrativa ordinaria, dell’impatto delle proprie decisioni sulle aree interne e assicurano alcuni specifici impegni; a questa, si associano due condizioni e requisiti che hanno una natura più operativa e verificabile: 2) i Comuni, che partecipano, in gruppi, alla strategia operativa, devono anche poter provare di essere in grado di guardare oltre i propri confini attraverso la gestione associata di servizi essenziali di funzionalità per la strategia; 3) i fondi vengono impiegati minimizzando il ricorso a bandi per la selezione delle aree specifiche di intervento e dei soggetti da coinvolgere e utilizzando il più possibile strumenti di pianificazione. Questa prima ipotesi non è poca cosa, ma è certamente un livello più tradizionale: quello degli indirizzi rafforzati da condizioni che già è strumento consolidato nell’esperienza delle politiche regionali.</w:t>
      </w:r>
    </w:p>
    <w:p w:rsidR="006013CA" w:rsidRPr="00212B77" w:rsidRDefault="006013CA">
      <w:pPr>
        <w:numPr>
          <w:ilvl w:val="1"/>
          <w:numId w:val="13"/>
        </w:numPr>
        <w:spacing w:after="120" w:line="240" w:lineRule="auto"/>
        <w:rPr>
          <w:szCs w:val="28"/>
        </w:rPr>
      </w:pPr>
      <w:r w:rsidRPr="00212B77">
        <w:rPr>
          <w:szCs w:val="28"/>
        </w:rPr>
        <w:t>Il secondo blocco di iniziativa che include il primo fa riferimento a una ipotesi può essere definita “</w:t>
      </w:r>
      <w:r w:rsidRPr="00212B77">
        <w:rPr>
          <w:b/>
          <w:szCs w:val="28"/>
        </w:rPr>
        <w:t>riformista</w:t>
      </w:r>
      <w:r w:rsidRPr="00212B77">
        <w:rPr>
          <w:szCs w:val="28"/>
        </w:rPr>
        <w:t xml:space="preserve">”. L’ipotesi riformista comprende quella minimalista e ha il senso di contaminare la prima attraverso un forte sforzo cognitivo e un rinnovato impegno del Centro che si realizza nel lancio di alcuni progetti che operano secondo una metodologia comune impostata e con il coinvolgimento diretto del livello nazionale che, in vari modi, vi parteciperà. Nell’applicazione pratica la metodologia è però anche gestita e partecipata a livello locale dai presìdi territoriali – Comuni, associazioni di Comuni, Province, distretti sanitari e scuole – secondo una geometria che varia da luogo a luogo. I progetti saranno definiti nell’operatività attraverso </w:t>
      </w:r>
      <w:r w:rsidRPr="00212B77">
        <w:rPr>
          <w:b/>
          <w:szCs w:val="28"/>
        </w:rPr>
        <w:t xml:space="preserve">strumenti negoziali </w:t>
      </w:r>
      <w:r w:rsidRPr="00212B77">
        <w:rPr>
          <w:szCs w:val="28"/>
        </w:rPr>
        <w:t>quali,</w:t>
      </w:r>
      <w:r w:rsidRPr="00212B77">
        <w:rPr>
          <w:b/>
          <w:szCs w:val="28"/>
        </w:rPr>
        <w:t xml:space="preserve"> </w:t>
      </w:r>
      <w:r w:rsidRPr="00212B77">
        <w:rPr>
          <w:szCs w:val="28"/>
        </w:rPr>
        <w:t>ad esempio</w:t>
      </w:r>
      <w:r w:rsidRPr="00212B77">
        <w:rPr>
          <w:b/>
          <w:szCs w:val="28"/>
        </w:rPr>
        <w:t xml:space="preserve">, gli APQ – </w:t>
      </w:r>
      <w:r w:rsidRPr="00212B77">
        <w:rPr>
          <w:szCs w:val="28"/>
        </w:rPr>
        <w:t>o</w:t>
      </w:r>
      <w:r w:rsidRPr="00212B77">
        <w:rPr>
          <w:b/>
          <w:szCs w:val="28"/>
        </w:rPr>
        <w:t xml:space="preserve"> </w:t>
      </w:r>
      <w:r w:rsidRPr="00212B77">
        <w:rPr>
          <w:szCs w:val="28"/>
        </w:rPr>
        <w:t>la definizione di</w:t>
      </w:r>
      <w:r>
        <w:rPr>
          <w:szCs w:val="28"/>
        </w:rPr>
        <w:t xml:space="preserve"> </w:t>
      </w:r>
      <w:r w:rsidRPr="00212B77">
        <w:rPr>
          <w:b/>
          <w:szCs w:val="28"/>
        </w:rPr>
        <w:t xml:space="preserve">Community Led Local Development - </w:t>
      </w:r>
      <w:r w:rsidRPr="00212B77">
        <w:rPr>
          <w:szCs w:val="28"/>
        </w:rPr>
        <w:t xml:space="preserve">che – tema per tema – vedranno fortemente coinvolte le Amministrazioni più rilevanti e interessate (Ministeri; Regioni; Province; Comuni e/o </w:t>
      </w:r>
      <w:r>
        <w:rPr>
          <w:szCs w:val="28"/>
        </w:rPr>
        <w:t>a</w:t>
      </w:r>
      <w:r w:rsidRPr="00212B77">
        <w:rPr>
          <w:szCs w:val="28"/>
        </w:rPr>
        <w:t xml:space="preserve">ssociazioni di Comuni altre), con l’intento esplicito di assicurare attorno a questi progetti </w:t>
      </w:r>
      <w:r w:rsidRPr="00212B77">
        <w:rPr>
          <w:b/>
          <w:szCs w:val="28"/>
        </w:rPr>
        <w:t>anche la pratica</w:t>
      </w:r>
      <w:r w:rsidRPr="00212B77">
        <w:rPr>
          <w:szCs w:val="28"/>
        </w:rPr>
        <w:t xml:space="preserve"> </w:t>
      </w:r>
      <w:r w:rsidRPr="00212B77">
        <w:rPr>
          <w:b/>
          <w:szCs w:val="28"/>
        </w:rPr>
        <w:t xml:space="preserve">del legame strategico con le politiche ordinarie </w:t>
      </w:r>
      <w:r w:rsidRPr="00212B77">
        <w:rPr>
          <w:szCs w:val="28"/>
        </w:rPr>
        <w:t>che costituiscono pre-requisiti rilevanti. I progetti così avviati rappresentano un punto di riferimento, uno spazio in cui contestualmente si innova e si apprende dalla sperimentazione.</w:t>
      </w:r>
    </w:p>
    <w:p w:rsidR="006013CA" w:rsidRPr="00EA7C8D" w:rsidRDefault="006013CA">
      <w:pPr>
        <w:numPr>
          <w:ilvl w:val="1"/>
          <w:numId w:val="13"/>
        </w:numPr>
        <w:spacing w:after="120" w:line="240" w:lineRule="auto"/>
        <w:rPr>
          <w:szCs w:val="28"/>
        </w:rPr>
      </w:pPr>
      <w:r w:rsidRPr="00212B77">
        <w:rPr>
          <w:szCs w:val="28"/>
        </w:rPr>
        <w:t xml:space="preserve">La terza ipotesi di blocco di </w:t>
      </w:r>
      <w:r w:rsidRPr="00212B77">
        <w:rPr>
          <w:iCs/>
          <w:szCs w:val="28"/>
        </w:rPr>
        <w:t>azioni</w:t>
      </w:r>
      <w:r w:rsidRPr="00212B77">
        <w:rPr>
          <w:szCs w:val="28"/>
        </w:rPr>
        <w:t xml:space="preserve"> è definibile come “</w:t>
      </w:r>
      <w:r w:rsidRPr="00212B77">
        <w:rPr>
          <w:b/>
          <w:szCs w:val="28"/>
        </w:rPr>
        <w:t>di attacco</w:t>
      </w:r>
      <w:r w:rsidRPr="00212B77">
        <w:rPr>
          <w:szCs w:val="28"/>
        </w:rPr>
        <w:t xml:space="preserve">”. Essa contiene la prima e la seconda e ha ragion d’essere solo se entrambe sono messe in atto, perché si propone nell’oggi e si proietta nel futuro. L’idea sottostante è quella di costruire un solido e duraturo collante tra azioni più variegate definite dai programmi, esperienze metodologiche innovative e complesso degli attori coinvolti. L’ipotesi comprende, dunque, quella minimalista e quella riformista, ma aggiunge a quest’ultima un elemento ulteriore, che renda il metodo e la proposta strategica più cogenti attraverso non l’obbligo, ma la condivisione e la prova comune di esperienze che totalmente facciano proprie le istanze di metodo e di merito della strategia. Ciò è possibile non già individuando una figura sovra-ordinata, ma </w:t>
      </w:r>
      <w:r w:rsidRPr="00212B77">
        <w:rPr>
          <w:b/>
          <w:szCs w:val="28"/>
        </w:rPr>
        <w:t xml:space="preserve">attraverso la costituzione di una “federazione di progetti”. </w:t>
      </w:r>
      <w:r w:rsidRPr="00212B77">
        <w:rPr>
          <w:szCs w:val="28"/>
        </w:rPr>
        <w:t xml:space="preserve">Viene data a tutti progetti che rispettano un set di criteri di efficacia ricercata, l’opzione di “federarsi”. Questa scelta implica, da un lato, l’adozione di requisiti più stringenti sul piano del metodo ma, dall’altro lato, la possibilità di costruire e quindi di disporre di una piattaforma di conoscenze e competenze. In questo caso non sarà rilevante il fondo di finanziamento per i progetti che partecipano: si tratta quindi di progetti che potranno essere finanziati dalla politica regionale (POR), agricola, di sviluppo rurale (PSR), con il fondo sviluppo e coesione (FSC), ma anche da finanziamenti ordinari attinenti ad altre politiche settoriali. Non si tratta del vecchio concetto di assistenza tecnica ma piuttosto di una piattaforma di confronto. </w:t>
      </w:r>
      <w:r w:rsidRPr="00212B77">
        <w:rPr>
          <w:b/>
          <w:szCs w:val="28"/>
        </w:rPr>
        <w:t>Il maggior portato dello scenario d’attacco è far uscire i singoli progetti dalle esperienze isolate al fine di far progredire nel tempo la capacità dei protagonisti di attuare e innovare “insieme con e nella Federazione” la strategia.</w:t>
      </w:r>
    </w:p>
    <w:p w:rsidR="006013CA" w:rsidRPr="00212B77" w:rsidRDefault="006013CA" w:rsidP="00EA7C8D">
      <w:pPr>
        <w:spacing w:after="120" w:line="240" w:lineRule="auto"/>
        <w:rPr>
          <w:szCs w:val="28"/>
        </w:rPr>
      </w:pPr>
    </w:p>
    <w:p w:rsidR="006013CA" w:rsidRPr="00EA7C8D" w:rsidRDefault="006013CA" w:rsidP="00EA7C8D">
      <w:pPr>
        <w:pStyle w:val="Heading3"/>
        <w:spacing w:before="0" w:after="240" w:line="240" w:lineRule="auto"/>
        <w:ind w:left="709" w:hanging="709"/>
        <w:rPr>
          <w:b/>
          <w:sz w:val="24"/>
          <w:szCs w:val="24"/>
        </w:rPr>
      </w:pPr>
      <w:bookmarkStart w:id="26" w:name="_Toc356901602"/>
      <w:r w:rsidRPr="00EA7C8D">
        <w:rPr>
          <w:b/>
          <w:sz w:val="24"/>
          <w:szCs w:val="24"/>
        </w:rPr>
        <w:t>5.3</w:t>
      </w:r>
      <w:r w:rsidRPr="00EA7C8D">
        <w:rPr>
          <w:b/>
          <w:sz w:val="24"/>
          <w:szCs w:val="24"/>
        </w:rPr>
        <w:tab/>
        <w:t>L’approccio di “Progetto”: per realizzare, apprendere e per creare una collaborazione attiva</w:t>
      </w:r>
      <w:bookmarkEnd w:id="26"/>
    </w:p>
    <w:p w:rsidR="006013CA" w:rsidRPr="00212B77" w:rsidRDefault="006013CA">
      <w:pPr>
        <w:spacing w:after="120" w:line="240" w:lineRule="auto"/>
        <w:rPr>
          <w:szCs w:val="28"/>
        </w:rPr>
      </w:pPr>
      <w:r w:rsidRPr="00212B77">
        <w:rPr>
          <w:szCs w:val="28"/>
        </w:rPr>
        <w:t>La strategia operativa per le Aree interne non si configura come un Programma nazionale chiuso e confinato a risorse date. Né come un insieme assai disomogeneo di progetti diversi. Intende configurarsi come una collettività di attori interessati a esperienze progettuali, ispirati da una Strategia condivisa e per la costruzione di un comune senso del metodo d’azione per affrontare e interpretare in modo collettivo il tema Aree interne, pur nella diversità delle soluzioni concrete.</w:t>
      </w:r>
    </w:p>
    <w:p w:rsidR="006013CA" w:rsidRPr="00212B77" w:rsidRDefault="006013CA">
      <w:pPr>
        <w:spacing w:after="120" w:line="240" w:lineRule="auto"/>
        <w:rPr>
          <w:szCs w:val="28"/>
        </w:rPr>
      </w:pPr>
      <w:r w:rsidRPr="00212B77">
        <w:rPr>
          <w:szCs w:val="28"/>
        </w:rPr>
        <w:t>La scatola progettuale si monta nei luoghi e quindi primi protagonisti sono le collettività territoriali e i loro referenti di responsabilità intermedia e regionale, ma può avere prospettive più ampie solo grazie a una forte strategia, intenzionalità e sguardo nazionale.</w:t>
      </w:r>
    </w:p>
    <w:p w:rsidR="006013CA" w:rsidRPr="00212B77" w:rsidRDefault="006013CA">
      <w:pPr>
        <w:spacing w:after="120" w:line="240" w:lineRule="auto"/>
        <w:rPr>
          <w:szCs w:val="28"/>
        </w:rPr>
      </w:pPr>
      <w:r w:rsidRPr="00212B77">
        <w:rPr>
          <w:szCs w:val="28"/>
        </w:rPr>
        <w:t>Le Regioni e altri soggetti territoriali procederanno con i loro progetti di impatto (come chiarito e secondo le condizioni espresse nel primo blocco</w:t>
      </w:r>
      <w:r w:rsidRPr="00A269F3">
        <w:rPr>
          <w:szCs w:val="28"/>
        </w:rPr>
        <w:t>). I programmi regionali dovranno pertanto contenere indicazioni delle Aree in cui si intende intervenire in maniera coerente con la strategia, degli obiettivi strategici che intendono perseguire e un chiaro riferimento alla tempistica dei progetti stessi.</w:t>
      </w:r>
    </w:p>
    <w:p w:rsidR="006013CA" w:rsidRPr="00212B77" w:rsidRDefault="006013CA">
      <w:pPr>
        <w:spacing w:after="120" w:line="240" w:lineRule="auto"/>
        <w:rPr>
          <w:szCs w:val="28"/>
        </w:rPr>
      </w:pPr>
      <w:r w:rsidRPr="00212B77">
        <w:rPr>
          <w:szCs w:val="28"/>
        </w:rPr>
        <w:t xml:space="preserve">Il Centro procederà, come detto nel secondo blocco, con un investimento di “Metodo” su pochi “progetti”. Questi progetti – benché territoriali e </w:t>
      </w:r>
      <w:r w:rsidRPr="00212B77">
        <w:rPr>
          <w:i/>
          <w:szCs w:val="28"/>
        </w:rPr>
        <w:t>place based</w:t>
      </w:r>
      <w:r w:rsidRPr="00212B77">
        <w:rPr>
          <w:szCs w:val="28"/>
        </w:rPr>
        <w:t xml:space="preserve"> come approccio, quindi rispettosi delle singole vocazioni e potenzialità dei territori – verranno organizzati solo su alcune filiere tematiche: tutela e gestione del territorio; valorizzazione di risorse naturali e culturali; energia rinnovabile; sistemi agricoli e agro-alimentari. </w:t>
      </w:r>
    </w:p>
    <w:p w:rsidR="006013CA" w:rsidRDefault="006013CA" w:rsidP="008D7138">
      <w:pPr>
        <w:spacing w:after="120" w:line="240" w:lineRule="auto"/>
        <w:rPr>
          <w:i/>
          <w:szCs w:val="28"/>
        </w:rPr>
      </w:pPr>
      <w:r w:rsidRPr="00212B77">
        <w:rPr>
          <w:szCs w:val="28"/>
        </w:rPr>
        <w:t>Per quanto riguarda il Centro e l’investimento di metodo attraverso progetti, tre saranno le tipologie:</w:t>
      </w:r>
      <w:r>
        <w:rPr>
          <w:i/>
          <w:szCs w:val="28"/>
        </w:rPr>
        <w:t xml:space="preserve"> (1)</w:t>
      </w:r>
      <w:r w:rsidRPr="00212B77">
        <w:rPr>
          <w:i/>
          <w:szCs w:val="28"/>
        </w:rPr>
        <w:t>Progetti pilota veri e propri; (2) Progetti di ricerca azione; (3) Associazione ad un progetto in costruzione.</w:t>
      </w:r>
    </w:p>
    <w:p w:rsidR="006013CA" w:rsidRPr="00212B77" w:rsidRDefault="006013CA" w:rsidP="008D7138">
      <w:pPr>
        <w:spacing w:after="120" w:line="240" w:lineRule="auto"/>
        <w:rPr>
          <w:i/>
          <w:szCs w:val="28"/>
        </w:rPr>
      </w:pPr>
    </w:p>
    <w:p w:rsidR="006013CA" w:rsidRPr="008D7138" w:rsidRDefault="006013CA" w:rsidP="00A269F3">
      <w:pPr>
        <w:keepNext/>
        <w:spacing w:after="120" w:line="240" w:lineRule="auto"/>
        <w:rPr>
          <w:b/>
          <w:i/>
          <w:szCs w:val="28"/>
        </w:rPr>
      </w:pPr>
      <w:r w:rsidRPr="008D7138">
        <w:rPr>
          <w:b/>
          <w:i/>
          <w:szCs w:val="28"/>
        </w:rPr>
        <w:t>Box II</w:t>
      </w:r>
      <w:r>
        <w:rPr>
          <w:b/>
          <w:i/>
          <w:szCs w:val="28"/>
        </w:rPr>
        <w:t>: L</w:t>
      </w:r>
      <w:r w:rsidRPr="008D7138">
        <w:rPr>
          <w:b/>
          <w:i/>
          <w:szCs w:val="28"/>
        </w:rPr>
        <w:t>’</w:t>
      </w:r>
      <w:r w:rsidRPr="00120043">
        <w:rPr>
          <w:b/>
          <w:i/>
          <w:szCs w:val="28"/>
        </w:rPr>
        <w:t xml:space="preserve">investimento di Metodo sui </w:t>
      </w:r>
      <w:r>
        <w:rPr>
          <w:b/>
          <w:i/>
          <w:szCs w:val="28"/>
        </w:rPr>
        <w:t>P</w:t>
      </w:r>
      <w:r w:rsidRPr="008D7138">
        <w:rPr>
          <w:b/>
          <w:i/>
          <w:szCs w:val="28"/>
        </w:rPr>
        <w:t>rogetti</w:t>
      </w:r>
    </w:p>
    <w:p w:rsidR="006013CA" w:rsidRPr="00931F13" w:rsidRDefault="006013CA">
      <w:pPr>
        <w:spacing w:after="120" w:line="240" w:lineRule="auto"/>
        <w:rPr>
          <w:i/>
          <w:szCs w:val="28"/>
        </w:rPr>
      </w:pPr>
      <w:r w:rsidRPr="008D7138">
        <w:rPr>
          <w:b/>
          <w:i/>
          <w:szCs w:val="28"/>
        </w:rPr>
        <w:t>Progetti pilota veri e propri</w:t>
      </w:r>
      <w:r w:rsidRPr="008D7138">
        <w:rPr>
          <w:i/>
          <w:szCs w:val="28"/>
        </w:rPr>
        <w:t xml:space="preserve"> (si tratta di veri e propri progetti concreti che perseguono fini di trasformazione sperimentando, però, soluzioni nuove con l’intento di comprendere meglio obiettivi e meccanismi alla prova della costruzione e attuazione concreta).</w:t>
      </w:r>
      <w:r w:rsidRPr="00931F13">
        <w:rPr>
          <w:i/>
          <w:szCs w:val="28"/>
        </w:rPr>
        <w:t xml:space="preserve"> </w:t>
      </w:r>
      <w:r w:rsidRPr="008D7138">
        <w:rPr>
          <w:i/>
          <w:szCs w:val="28"/>
        </w:rPr>
        <w:t>I progetti Pilota si tradurrebbero in un certo numero di Accordi di Programma che possono avere ad oggetto uno o al massimo due dei segmenti tematici identificati, lavorare con i referenti e i presìdi che a livello locale, regionale e Centrale che gestiscono i temi oggetto dell’intervento – e simultaneamente i temi che costituiscono i pre-requisiti di riferimento (Scuola; Sanità e Mobilità).</w:t>
      </w:r>
    </w:p>
    <w:p w:rsidR="006013CA" w:rsidRPr="008D7138" w:rsidRDefault="006013CA">
      <w:pPr>
        <w:spacing w:after="120" w:line="240" w:lineRule="auto"/>
        <w:rPr>
          <w:i/>
          <w:szCs w:val="28"/>
        </w:rPr>
      </w:pPr>
      <w:r w:rsidRPr="008D7138">
        <w:rPr>
          <w:i/>
          <w:szCs w:val="28"/>
        </w:rPr>
        <w:t xml:space="preserve">Questi progetti saranno costruiti attraverso strumenti negoziali quali, ad esempio, gli APQ che – tema per tema – vedranno fortemente coinvolte le Amministrazioni più rilevanti e interessate (Ministeri; Regioni; Province; Comuni e/o Associazioni di Comuni altre), con l’intento esplicito di assicurare attorno a questi progetti il </w:t>
      </w:r>
      <w:r w:rsidRPr="008D7138">
        <w:rPr>
          <w:b/>
          <w:i/>
          <w:szCs w:val="28"/>
        </w:rPr>
        <w:t>legame con le politiche ordinarie</w:t>
      </w:r>
      <w:r w:rsidRPr="008D7138">
        <w:rPr>
          <w:i/>
          <w:szCs w:val="28"/>
        </w:rPr>
        <w:t xml:space="preserve"> che costituiscono “</w:t>
      </w:r>
      <w:r w:rsidRPr="008D7138">
        <w:rPr>
          <w:b/>
          <w:i/>
          <w:szCs w:val="28"/>
        </w:rPr>
        <w:t>pre-requisiti rilevanti</w:t>
      </w:r>
      <w:r w:rsidRPr="008D7138">
        <w:rPr>
          <w:i/>
          <w:szCs w:val="28"/>
        </w:rPr>
        <w:t>”. I Progetti Pilota verranno selezionati in collaborazione con le Regioni e ANCI e le diverse parti interessate e competenti.</w:t>
      </w:r>
    </w:p>
    <w:p w:rsidR="006013CA" w:rsidRPr="008D7138" w:rsidRDefault="006013CA">
      <w:pPr>
        <w:spacing w:after="120" w:line="240" w:lineRule="auto"/>
        <w:rPr>
          <w:i/>
          <w:szCs w:val="28"/>
        </w:rPr>
      </w:pPr>
      <w:r w:rsidRPr="008D7138">
        <w:rPr>
          <w:i/>
          <w:szCs w:val="28"/>
        </w:rPr>
        <w:t>L’APQ si costituisce di un Comitato di Coordinamento (composto dai soggetti che decidono il riparto ); una Segreteria Tecnica (con Soggetti delle Amministrazioni locali); un Team di Campo (specialisti del tema oggetto dell’intervento che lavorano anche sul campo). I diversi APQ/Progetti Pilota Individuati devono concorrere al raggiungimento dei diversi obiettivi individuati dalla Strategia Nazionale (Miglioramento dei Servizi e della Qualità della vita; tutela del territorio; sviluppo economico e valorizzazione delle risorse locali).</w:t>
      </w:r>
    </w:p>
    <w:p w:rsidR="006013CA" w:rsidRPr="008D7138" w:rsidRDefault="006013CA">
      <w:pPr>
        <w:spacing w:after="120" w:line="240" w:lineRule="auto"/>
        <w:rPr>
          <w:i/>
          <w:szCs w:val="28"/>
        </w:rPr>
      </w:pPr>
      <w:r w:rsidRPr="008D7138">
        <w:rPr>
          <w:b/>
          <w:i/>
          <w:szCs w:val="28"/>
        </w:rPr>
        <w:t>Progetti di Ricerca Azione</w:t>
      </w:r>
      <w:r w:rsidRPr="00931F13">
        <w:rPr>
          <w:i/>
          <w:szCs w:val="28"/>
        </w:rPr>
        <w:t xml:space="preserve"> </w:t>
      </w:r>
      <w:r w:rsidRPr="008D7138">
        <w:rPr>
          <w:i/>
          <w:szCs w:val="28"/>
        </w:rPr>
        <w:t>(progetti imperniati attorno a un quesito conoscitivo, ma che realizzano la ricerca in contatto con gli attori reali e interessati e che insieme a questi elaborano soluzioni operative) su determinati temi che – benché rilevanti – non risultano ancora sufficientemente affrontati sul piano della Ricerca; verranno impostati dei progetti di ricerca attiva, caratterizzati da: intenti cognitivi pilota; gruppi di ricerca snelli e impegnati sul campo; una forte iterazione coi differenti presidi territoriali presenti nelle aree selezionate.</w:t>
      </w:r>
    </w:p>
    <w:p w:rsidR="006013CA" w:rsidRPr="00931F13" w:rsidRDefault="006013CA">
      <w:pPr>
        <w:spacing w:after="120" w:line="240" w:lineRule="auto"/>
        <w:rPr>
          <w:i/>
          <w:szCs w:val="28"/>
        </w:rPr>
      </w:pPr>
      <w:r w:rsidRPr="008D7138">
        <w:rPr>
          <w:b/>
          <w:i/>
          <w:szCs w:val="28"/>
        </w:rPr>
        <w:t>Associazione ad un progetto in costruzione</w:t>
      </w:r>
      <w:r w:rsidRPr="008D7138">
        <w:rPr>
          <w:i/>
          <w:szCs w:val="28"/>
        </w:rPr>
        <w:t xml:space="preserve"> (si tratta non di proporre, ma di partecipare a iniziative progettuali, alla loro più compiuta definizione e attuazione, fornendo feed-back o solo osservazione a iniziative proposte dal territorio che si giudicano interessanti ai fini di apprendimento)</w:t>
      </w:r>
      <w:r w:rsidRPr="00931F13">
        <w:rPr>
          <w:i/>
          <w:szCs w:val="28"/>
        </w:rPr>
        <w:t xml:space="preserve">. </w:t>
      </w:r>
      <w:r w:rsidRPr="008D7138">
        <w:rPr>
          <w:i/>
          <w:szCs w:val="28"/>
        </w:rPr>
        <w:t>Il Dipartimento delle Politiche di Sviluppo e Coesione ha aperto ad un’operazione di co-progettazione con i territori. Numerosi soggetti si sono candidati esprimendo la necessità di un supporto o solo di un confronto. Per alcuni di questi il Dipartimento potrà svolgere un ruolo di “accompagnamento” per fare in modo che anche questi progetti possano presentare le caratteristiche richieste e ottenere il bollino “</w:t>
      </w:r>
      <w:r w:rsidRPr="00931F13">
        <w:rPr>
          <w:i/>
          <w:szCs w:val="28"/>
        </w:rPr>
        <w:t>Intern-Net</w:t>
      </w:r>
      <w:r w:rsidRPr="008D7138">
        <w:rPr>
          <w:i/>
          <w:szCs w:val="28"/>
        </w:rPr>
        <w:t>”.</w:t>
      </w:r>
    </w:p>
    <w:p w:rsidR="006013CA" w:rsidRDefault="006013CA">
      <w:pPr>
        <w:spacing w:after="120" w:line="240" w:lineRule="auto"/>
        <w:rPr>
          <w:szCs w:val="28"/>
        </w:rPr>
      </w:pPr>
    </w:p>
    <w:p w:rsidR="006013CA" w:rsidRPr="00212B77" w:rsidRDefault="006013CA">
      <w:pPr>
        <w:spacing w:after="120" w:line="240" w:lineRule="auto"/>
        <w:rPr>
          <w:szCs w:val="28"/>
        </w:rPr>
      </w:pPr>
      <w:r w:rsidRPr="00212B77">
        <w:rPr>
          <w:szCs w:val="28"/>
        </w:rPr>
        <w:t>Per rendere il metodo più cogente – e per far sì che l’Azione di Metodo possa rinforzarsi con quella in corso a livello Regionale – è necessario però far uscire i singoli progetti dalle loro esperienze individuali al fine di far progredire nel tempo la capacità dei protagonisti di attuare e innovare “insieme con e nella Federazione” la Strategia, per consentire al tema Aree interne di continuare a costituire nel tempo una sfida con cui necessariamente confrontarsi.</w:t>
      </w:r>
    </w:p>
    <w:p w:rsidR="006013CA" w:rsidRPr="00212B77" w:rsidRDefault="006013CA">
      <w:pPr>
        <w:spacing w:after="120" w:line="240" w:lineRule="auto"/>
        <w:rPr>
          <w:szCs w:val="28"/>
        </w:rPr>
      </w:pPr>
      <w:r w:rsidRPr="00212B77">
        <w:rPr>
          <w:szCs w:val="28"/>
        </w:rPr>
        <w:t>Tutti i progetti</w:t>
      </w:r>
      <w:r>
        <w:rPr>
          <w:szCs w:val="28"/>
        </w:rPr>
        <w:t xml:space="preserve"> </w:t>
      </w:r>
      <w:r w:rsidRPr="00212B77">
        <w:rPr>
          <w:szCs w:val="28"/>
        </w:rPr>
        <w:t xml:space="preserve">che potranno federarsi dovranno strettamente rispettare le seguenti caratterizzazioni di impostazione, obiettivi e organizzazione: </w:t>
      </w:r>
    </w:p>
    <w:p w:rsidR="006013CA" w:rsidRPr="00212B77" w:rsidRDefault="006013CA">
      <w:pPr>
        <w:numPr>
          <w:ilvl w:val="0"/>
          <w:numId w:val="14"/>
        </w:numPr>
        <w:spacing w:after="120" w:line="240" w:lineRule="auto"/>
        <w:rPr>
          <w:szCs w:val="28"/>
        </w:rPr>
      </w:pPr>
      <w:r w:rsidRPr="00212B77">
        <w:rPr>
          <w:szCs w:val="28"/>
        </w:rPr>
        <w:t xml:space="preserve">agire su almeno uno dei quattro fattori latenti discussi in precedenza; creare occupazione e avere pertanto un legame col mercato (la domanda); </w:t>
      </w:r>
    </w:p>
    <w:p w:rsidR="006013CA" w:rsidRPr="00212B77" w:rsidRDefault="006013CA">
      <w:pPr>
        <w:numPr>
          <w:ilvl w:val="0"/>
          <w:numId w:val="14"/>
        </w:numPr>
        <w:spacing w:after="120" w:line="240" w:lineRule="auto"/>
        <w:rPr>
          <w:szCs w:val="28"/>
        </w:rPr>
      </w:pPr>
      <w:r w:rsidRPr="00212B77">
        <w:rPr>
          <w:szCs w:val="28"/>
        </w:rPr>
        <w:t xml:space="preserve">vedere una forte partecipazione delle Comunità locali e dei presidi territoriali (Comuni associati e/o legati da un rapporto di collaborazione per migliorare l’offerta dei Servizi; Enti locali e associazioni di volontariato); </w:t>
      </w:r>
    </w:p>
    <w:p w:rsidR="006013CA" w:rsidRPr="00212B77" w:rsidRDefault="006013CA">
      <w:pPr>
        <w:numPr>
          <w:ilvl w:val="0"/>
          <w:numId w:val="14"/>
        </w:numPr>
        <w:spacing w:after="120" w:line="240" w:lineRule="auto"/>
        <w:rPr>
          <w:szCs w:val="28"/>
        </w:rPr>
      </w:pPr>
      <w:r w:rsidRPr="00212B77">
        <w:rPr>
          <w:szCs w:val="28"/>
        </w:rPr>
        <w:t>essere valutati in itinere su risultati pre-stabiliti;</w:t>
      </w:r>
    </w:p>
    <w:p w:rsidR="006013CA" w:rsidRPr="00212B77" w:rsidRDefault="006013CA">
      <w:pPr>
        <w:numPr>
          <w:ilvl w:val="0"/>
          <w:numId w:val="14"/>
        </w:numPr>
        <w:spacing w:after="120" w:line="240" w:lineRule="auto"/>
        <w:rPr>
          <w:szCs w:val="28"/>
        </w:rPr>
      </w:pPr>
      <w:r w:rsidRPr="00212B77">
        <w:rPr>
          <w:szCs w:val="28"/>
        </w:rPr>
        <w:t>essere “fortemente accompagnati”;</w:t>
      </w:r>
    </w:p>
    <w:p w:rsidR="006013CA" w:rsidRPr="00212B77" w:rsidRDefault="006013CA">
      <w:pPr>
        <w:numPr>
          <w:ilvl w:val="0"/>
          <w:numId w:val="14"/>
        </w:numPr>
        <w:spacing w:after="120" w:line="240" w:lineRule="auto"/>
        <w:rPr>
          <w:szCs w:val="28"/>
        </w:rPr>
      </w:pPr>
      <w:r w:rsidRPr="00212B77">
        <w:rPr>
          <w:szCs w:val="28"/>
        </w:rPr>
        <w:t>definire chiaramente il legame necessario (</w:t>
      </w:r>
      <w:r w:rsidRPr="00212B77">
        <w:rPr>
          <w:i/>
          <w:szCs w:val="28"/>
        </w:rPr>
        <w:t>conditio sine qua non</w:t>
      </w:r>
      <w:r w:rsidRPr="00212B77">
        <w:rPr>
          <w:szCs w:val="28"/>
        </w:rPr>
        <w:t>) con le politiche ordinarie più rilevanti per l’azione di quel progetto (sicuramente salute, istruzione e mobilità)</w:t>
      </w:r>
      <w:r>
        <w:rPr>
          <w:szCs w:val="28"/>
        </w:rPr>
        <w:t xml:space="preserve"> </w:t>
      </w:r>
      <w:r w:rsidRPr="00212B77">
        <w:rPr>
          <w:szCs w:val="28"/>
        </w:rPr>
        <w:t>e quindi contribuire a</w:t>
      </w:r>
      <w:r>
        <w:rPr>
          <w:szCs w:val="28"/>
        </w:rPr>
        <w:t xml:space="preserve"> </w:t>
      </w:r>
      <w:r w:rsidRPr="00212B77">
        <w:rPr>
          <w:szCs w:val="28"/>
        </w:rPr>
        <w:t>migliorare qualità e accessibilità dei servizi nelle Aree Interne (scuola, ospedali e mobilità).</w:t>
      </w:r>
      <w:r w:rsidRPr="00212B77">
        <w:rPr>
          <w:szCs w:val="28"/>
          <w:vertAlign w:val="superscript"/>
        </w:rPr>
        <w:t xml:space="preserve"> </w:t>
      </w:r>
      <w:r w:rsidRPr="00212B77">
        <w:rPr>
          <w:szCs w:val="28"/>
          <w:vertAlign w:val="superscript"/>
        </w:rPr>
        <w:footnoteReference w:id="26"/>
      </w:r>
    </w:p>
    <w:p w:rsidR="006013CA" w:rsidRPr="00212B77" w:rsidRDefault="006013CA">
      <w:pPr>
        <w:spacing w:after="120" w:line="240" w:lineRule="auto"/>
        <w:rPr>
          <w:szCs w:val="28"/>
        </w:rPr>
      </w:pPr>
      <w:r w:rsidRPr="00212B77">
        <w:rPr>
          <w:szCs w:val="28"/>
        </w:rPr>
        <w:t>La federazione servirà anche a garantire lo scambio di esperienze tra progetti che concorrono ad un medesimo obiettivo in favore dello sviluppo delle Aree Interne</w:t>
      </w:r>
      <w:r w:rsidRPr="00212B77">
        <w:rPr>
          <w:szCs w:val="28"/>
          <w:vertAlign w:val="superscript"/>
        </w:rPr>
        <w:footnoteReference w:id="27"/>
      </w:r>
      <w:r w:rsidRPr="00212B77">
        <w:rPr>
          <w:szCs w:val="28"/>
        </w:rPr>
        <w:t>. La federazione potrà contare su una infrastruttura di riferimento in cui i progetti potranno collocarsi e rendersi visibili e di expertise con cui i protagonisti dei progetti potranno interagire. Sarà nell’ambito della federazione – costruita per filoni di intervento – che i diversi progetti potranno confrontarsi – anche attraverso una Valutazione di come gli stessi concorrono al raggiungimento degli obiettivi della Strategia nazionale.</w:t>
      </w:r>
    </w:p>
    <w:p w:rsidR="006013CA" w:rsidRPr="00212B77" w:rsidRDefault="006013CA">
      <w:pPr>
        <w:spacing w:after="120" w:line="240" w:lineRule="auto"/>
        <w:rPr>
          <w:szCs w:val="28"/>
        </w:rPr>
      </w:pPr>
      <w:r w:rsidRPr="00212B77">
        <w:rPr>
          <w:szCs w:val="28"/>
        </w:rPr>
        <w:t>Quale l’incentivo a partecipare alla Federazione?</w:t>
      </w:r>
    </w:p>
    <w:p w:rsidR="006013CA" w:rsidRPr="00212B77" w:rsidRDefault="006013CA">
      <w:pPr>
        <w:numPr>
          <w:ilvl w:val="0"/>
          <w:numId w:val="14"/>
        </w:numPr>
        <w:spacing w:after="120" w:line="240" w:lineRule="auto"/>
        <w:rPr>
          <w:szCs w:val="28"/>
        </w:rPr>
      </w:pPr>
      <w:r w:rsidRPr="00212B77">
        <w:rPr>
          <w:szCs w:val="28"/>
        </w:rPr>
        <w:t xml:space="preserve">Fruire di un centro gestionale in grado di fornire </w:t>
      </w:r>
      <w:r w:rsidRPr="00212B77">
        <w:rPr>
          <w:i/>
          <w:szCs w:val="28"/>
        </w:rPr>
        <w:t>know how</w:t>
      </w:r>
      <w:r w:rsidRPr="00212B77">
        <w:rPr>
          <w:szCs w:val="28"/>
        </w:rPr>
        <w:t xml:space="preserve"> di alto livello nel campo delle Aree Interne (metodi di analisi territoriale; statistiche e mappe; metodi di valutazione; capacità di gestione e valutazione progettuale; altre);</w:t>
      </w:r>
    </w:p>
    <w:p w:rsidR="006013CA" w:rsidRPr="00212B77" w:rsidRDefault="006013CA">
      <w:pPr>
        <w:numPr>
          <w:ilvl w:val="0"/>
          <w:numId w:val="14"/>
        </w:numPr>
        <w:spacing w:after="120" w:line="240" w:lineRule="auto"/>
        <w:rPr>
          <w:szCs w:val="28"/>
        </w:rPr>
      </w:pPr>
      <w:r w:rsidRPr="00212B77">
        <w:rPr>
          <w:szCs w:val="28"/>
        </w:rPr>
        <w:t>Entrare in un circuito di informazione e fruire dell’effetto reputazione di partecipazione alla Federazione</w:t>
      </w:r>
      <w:r>
        <w:rPr>
          <w:szCs w:val="28"/>
        </w:rPr>
        <w:t>.</w:t>
      </w:r>
    </w:p>
    <w:p w:rsidR="006013CA" w:rsidRPr="00212B77" w:rsidRDefault="006013CA">
      <w:pPr>
        <w:numPr>
          <w:ilvl w:val="0"/>
          <w:numId w:val="14"/>
        </w:numPr>
        <w:spacing w:after="120" w:line="240" w:lineRule="auto"/>
        <w:rPr>
          <w:szCs w:val="28"/>
        </w:rPr>
      </w:pPr>
      <w:r w:rsidRPr="00212B77">
        <w:rPr>
          <w:szCs w:val="28"/>
        </w:rPr>
        <w:t>Usare occasioni di confronto e conoscenza reciproca su questioni chiave per lo sviluppo delle Aree Interne</w:t>
      </w:r>
      <w:r>
        <w:rPr>
          <w:szCs w:val="28"/>
        </w:rPr>
        <w:t>.</w:t>
      </w:r>
    </w:p>
    <w:p w:rsidR="006013CA" w:rsidRPr="00212B77" w:rsidRDefault="006013CA">
      <w:pPr>
        <w:numPr>
          <w:ilvl w:val="0"/>
          <w:numId w:val="14"/>
        </w:numPr>
        <w:spacing w:after="120" w:line="240" w:lineRule="auto"/>
        <w:rPr>
          <w:szCs w:val="28"/>
        </w:rPr>
      </w:pPr>
      <w:r w:rsidRPr="00212B77">
        <w:rPr>
          <w:szCs w:val="28"/>
        </w:rPr>
        <w:t>Creare occasioni di scambio/gemellaggio con aree impegnate su obiettivi simili</w:t>
      </w:r>
      <w:r>
        <w:rPr>
          <w:szCs w:val="28"/>
        </w:rPr>
        <w:t>.</w:t>
      </w:r>
    </w:p>
    <w:p w:rsidR="006013CA" w:rsidRPr="00212B77" w:rsidRDefault="006013CA">
      <w:pPr>
        <w:numPr>
          <w:ilvl w:val="0"/>
          <w:numId w:val="14"/>
        </w:numPr>
        <w:spacing w:after="120" w:line="240" w:lineRule="auto"/>
        <w:rPr>
          <w:szCs w:val="28"/>
        </w:rPr>
      </w:pPr>
      <w:r w:rsidRPr="00212B77">
        <w:rPr>
          <w:szCs w:val="28"/>
        </w:rPr>
        <w:t>Fruire di un eventuale meccanismo di “Riserva Premiale”.</w:t>
      </w:r>
    </w:p>
    <w:p w:rsidR="006013CA" w:rsidRPr="00034E57" w:rsidRDefault="006013CA" w:rsidP="00034E57">
      <w:pPr>
        <w:spacing w:after="120" w:line="240" w:lineRule="auto"/>
        <w:rPr>
          <w:szCs w:val="28"/>
        </w:rPr>
      </w:pPr>
    </w:p>
    <w:sectPr w:rsidR="006013CA" w:rsidRPr="00034E57" w:rsidSect="00EA7C8D">
      <w:pgSz w:w="11906" w:h="16838"/>
      <w:pgMar w:top="1985" w:right="1701" w:bottom="1701" w:left="1701" w:header="709" w:footer="709" w:gutter="0"/>
      <w:cols w:space="708"/>
      <w:rtlGutter/>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3CA" w:rsidRDefault="006013CA" w:rsidP="009D330F">
      <w:pPr>
        <w:spacing w:after="0" w:line="240" w:lineRule="auto"/>
      </w:pPr>
      <w:r>
        <w:separator/>
      </w:r>
    </w:p>
  </w:endnote>
  <w:endnote w:type="continuationSeparator" w:id="0">
    <w:p w:rsidR="006013CA" w:rsidRDefault="006013CA" w:rsidP="009D33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l?r ?S?V?b?N"/>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3CA" w:rsidRPr="00EA7C8D" w:rsidRDefault="006013CA" w:rsidP="00EA7C8D">
    <w:pPr>
      <w:pStyle w:val="Footer"/>
      <w:jc w:val="center"/>
      <w:rPr>
        <w:b/>
        <w:color w:val="4F81BD"/>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3CA" w:rsidRPr="00EA7C8D" w:rsidRDefault="006013CA" w:rsidP="00EA7C8D">
    <w:pPr>
      <w:pStyle w:val="Footer"/>
      <w:jc w:val="center"/>
      <w:rPr>
        <w:b/>
        <w:color w:val="4F81BD"/>
        <w:sz w:val="24"/>
        <w:szCs w:val="24"/>
      </w:rPr>
    </w:pPr>
    <w:r w:rsidRPr="00EA7C8D">
      <w:rPr>
        <w:b/>
        <w:color w:val="4F81BD"/>
        <w:sz w:val="24"/>
        <w:szCs w:val="24"/>
      </w:rPr>
      <w:fldChar w:fldCharType="begin"/>
    </w:r>
    <w:r w:rsidRPr="00EA7C8D">
      <w:rPr>
        <w:b/>
        <w:color w:val="4F81BD"/>
        <w:sz w:val="24"/>
        <w:szCs w:val="24"/>
      </w:rPr>
      <w:instrText>PAGE   \* MERGEFORMAT</w:instrText>
    </w:r>
    <w:r w:rsidRPr="00EA7C8D">
      <w:rPr>
        <w:b/>
        <w:color w:val="4F81BD"/>
        <w:sz w:val="24"/>
        <w:szCs w:val="24"/>
      </w:rPr>
      <w:fldChar w:fldCharType="separate"/>
    </w:r>
    <w:r>
      <w:rPr>
        <w:b/>
        <w:noProof/>
        <w:color w:val="4F81BD"/>
        <w:sz w:val="24"/>
        <w:szCs w:val="24"/>
      </w:rPr>
      <w:t>12</w:t>
    </w:r>
    <w:r w:rsidRPr="00EA7C8D">
      <w:rPr>
        <w:b/>
        <w:color w:val="4F81BD"/>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3CA" w:rsidRDefault="006013CA" w:rsidP="009D330F">
      <w:pPr>
        <w:spacing w:after="0" w:line="240" w:lineRule="auto"/>
      </w:pPr>
      <w:r>
        <w:separator/>
      </w:r>
    </w:p>
  </w:footnote>
  <w:footnote w:type="continuationSeparator" w:id="0">
    <w:p w:rsidR="006013CA" w:rsidRDefault="006013CA" w:rsidP="009D330F">
      <w:pPr>
        <w:spacing w:after="0" w:line="240" w:lineRule="auto"/>
      </w:pPr>
      <w:r>
        <w:continuationSeparator/>
      </w:r>
    </w:p>
  </w:footnote>
  <w:footnote w:id="1">
    <w:p w:rsidR="006013CA" w:rsidRDefault="006013CA" w:rsidP="00605D41">
      <w:pPr>
        <w:pStyle w:val="FootnoteText"/>
      </w:pPr>
      <w:r w:rsidRPr="00034E57">
        <w:rPr>
          <w:rStyle w:val="FootnoteReference"/>
        </w:rPr>
        <w:footnoteRef/>
      </w:r>
      <w:r w:rsidRPr="00034E57">
        <w:t xml:space="preserve"> L'ospedale sede DEA di I livello rappresenta un’aggregazione funzionale di unità operative che, oltre alle prestazioni fornite dal Pronto Soccorso, garantisce le funzioni di osservazione, breve degenza e di rianimazione e realizza interventi diagnostico-terapeutici di medicina generale, chirurgia generale, ortopedia e traumatologia, terapia intensiva di cardiologia. Inoltre assicura le prestazioni di laboratorio di analisi chimico-cliniche e microbiologiche, di diagnostica per immagini, e trasfusionali.</w:t>
      </w:r>
    </w:p>
  </w:footnote>
  <w:footnote w:id="2">
    <w:p w:rsidR="006013CA" w:rsidRDefault="006013CA" w:rsidP="00605D41">
      <w:pPr>
        <w:pStyle w:val="FootnoteText"/>
      </w:pPr>
      <w:r w:rsidRPr="00034E57">
        <w:rPr>
          <w:rStyle w:val="FootnoteReference"/>
        </w:rPr>
        <w:footnoteRef/>
      </w:r>
      <w:r w:rsidRPr="00034E57">
        <w:rPr>
          <w:rStyle w:val="FootnoteReference"/>
        </w:rPr>
        <w:t xml:space="preserve"> </w:t>
      </w:r>
      <w:r w:rsidRPr="00034E57">
        <w:t xml:space="preserve">RFI classifica le stazioni in: PLATINUM (13 grandi impianti):in questa classe rientrano le stazioni caratterizzate da una frequentazione superiore ai 6.000 viaggiatori medi/giorno ed un alto numero di treni medi/giorno con elevata incidenza di treni di qualità; GOLD (103 impianti medio-grandi): sono compresi gli impianti medio-grandi che presentano una frequentazione abbastanza alta, con una offerta trasportistica significativa sia locale che di qualità; SILVER (impianti medio-piccoli), sono inclusi tutti gli altri impianti medio-piccoli con una frequentazione media per servizi metropolitani-regionali e di lunga percorrenza inferiore a quella delle GOLD; BRONZE (impianti piccoli con bassa frequentazione). Sono inclusi in questa categoria impianti piccoli con una bassa frequentazione che svolgono servizi regionali. </w:t>
      </w:r>
    </w:p>
  </w:footnote>
  <w:footnote w:id="3">
    <w:p w:rsidR="006013CA" w:rsidRDefault="006013CA" w:rsidP="00605D41">
      <w:pPr>
        <w:pStyle w:val="FootnoteText"/>
      </w:pPr>
      <w:r w:rsidRPr="00034E57">
        <w:rPr>
          <w:rStyle w:val="FootnoteReference"/>
        </w:rPr>
        <w:footnoteRef/>
      </w:r>
      <w:r w:rsidRPr="00034E57">
        <w:t xml:space="preserve"> Sono stati apportati alcuni correttivi al metodo descritto che hanno riguardato i comuni capoluogo di provincia non selezionati sulla base della presenza dei tre servizi. In particolare, sono stati forzatamente inclusi tra i poli: Agrigento, Andria, Aosta, Barletta, Bolzano, Lecce, Matera, Nuoro, Oristano, Trani, Trento e Verbania. I comuni capoluogo della Sardegna, Olbia-Tempio,</w:t>
      </w:r>
      <w:r>
        <w:t xml:space="preserve"> </w:t>
      </w:r>
      <w:r w:rsidRPr="00034E57">
        <w:t>Ogliastra,</w:t>
      </w:r>
      <w:r>
        <w:t xml:space="preserve"> </w:t>
      </w:r>
      <w:r w:rsidRPr="00034E57">
        <w:t>Medio Campidano</w:t>
      </w:r>
      <w:r>
        <w:t xml:space="preserve"> </w:t>
      </w:r>
      <w:r w:rsidRPr="00034E57">
        <w:t>e</w:t>
      </w:r>
      <w:r>
        <w:t xml:space="preserve"> </w:t>
      </w:r>
      <w:r w:rsidRPr="00034E57">
        <w:t>Carbonia-Iglesias, non sono state incluse perché nel frattempo abolite mediante referendum regionale e a seguito dell’approvazione da parte del consiglio regionale della Sardegna della legge sul riordino delle Province sarde.</w:t>
      </w:r>
    </w:p>
  </w:footnote>
  <w:footnote w:id="4">
    <w:p w:rsidR="006013CA" w:rsidRDefault="006013CA" w:rsidP="00605D41">
      <w:pPr>
        <w:pStyle w:val="FootnoteText"/>
      </w:pPr>
      <w:r w:rsidRPr="00034E57">
        <w:rPr>
          <w:rStyle w:val="FootnoteReference"/>
          <w:spacing w:val="-2"/>
        </w:rPr>
        <w:footnoteRef/>
      </w:r>
      <w:r w:rsidRPr="00034E57">
        <w:rPr>
          <w:spacing w:val="-2"/>
        </w:rPr>
        <w:t xml:space="preserve"> Va sottolineato che non si sono posti vincoli amministrativi nell’associazione tra i Centri e i restanti comuni. Pertanto non è infrequente il caso in cui comuni sono prossimi a poli di altre province della stessa regione o anche a poli di regioni diverse dalla propria. Questo è un elemento non secondario se si considera che esistono una serie di servizi di competenza di enti territoriali, tipicamente la Regione e/o la Provincia, che non sono erogati de plano a residenti di una regione diversa.</w:t>
      </w:r>
    </w:p>
  </w:footnote>
  <w:footnote w:id="5">
    <w:p w:rsidR="006013CA" w:rsidRPr="00034E57" w:rsidRDefault="006013CA" w:rsidP="00605D41">
      <w:pPr>
        <w:pStyle w:val="FootnoteText"/>
      </w:pPr>
      <w:r w:rsidRPr="00034E57">
        <w:rPr>
          <w:rStyle w:val="FootnoteReference"/>
        </w:rPr>
        <w:footnoteRef/>
      </w:r>
      <w:r w:rsidRPr="00034E57">
        <w:t xml:space="preserve"> Per maggiori dettagli metodologici si rimanda a “Le aree interne: di quale territori parliamo? Nota esplicativa sul metodo di classificazione delle aree” scaricabile dal sito delle Aree Interne al seguente indirizzo: </w:t>
      </w:r>
    </w:p>
    <w:p w:rsidR="006013CA" w:rsidRDefault="006013CA" w:rsidP="00605D41">
      <w:pPr>
        <w:pStyle w:val="FootnoteText"/>
      </w:pPr>
      <w:r w:rsidRPr="00034E57">
        <w:t>http://www.dps.tesoro.it/Aree_interne/doc/Nota per cento20Territorializzazione per cento20AI_03 per cento20marzo_2013.pdf. Una trattazione completa del metodo corredata di analisi è inoltre in corso di pubblicazione sui Materiali Uval.</w:t>
      </w:r>
    </w:p>
  </w:footnote>
  <w:footnote w:id="6">
    <w:p w:rsidR="006013CA" w:rsidRDefault="006013CA" w:rsidP="00605D41">
      <w:pPr>
        <w:pStyle w:val="FootnoteText"/>
      </w:pPr>
      <w:r w:rsidRPr="00A269F3">
        <w:rPr>
          <w:rStyle w:val="FootnoteReference"/>
          <w:spacing w:val="-2"/>
        </w:rPr>
        <w:footnoteRef/>
      </w:r>
      <w:r w:rsidRPr="00A269F3">
        <w:rPr>
          <w:spacing w:val="-2"/>
        </w:rPr>
        <w:t xml:space="preserve"> I dati demografici di seguito illustrati sono desunti dai censimenti della popolazione che vanno dal 1971 al 2011.</w:t>
      </w:r>
    </w:p>
  </w:footnote>
  <w:footnote w:id="7">
    <w:p w:rsidR="006013CA" w:rsidRDefault="006013CA" w:rsidP="00605D41">
      <w:pPr>
        <w:spacing w:after="0"/>
      </w:pPr>
      <w:r w:rsidRPr="00A269F3">
        <w:rPr>
          <w:rStyle w:val="FootnoteReference"/>
          <w:spacing w:val="-2"/>
          <w:sz w:val="20"/>
          <w:szCs w:val="20"/>
        </w:rPr>
        <w:footnoteRef/>
      </w:r>
      <w:r w:rsidRPr="00A269F3">
        <w:rPr>
          <w:spacing w:val="-2"/>
          <w:sz w:val="20"/>
          <w:szCs w:val="20"/>
        </w:rPr>
        <w:t xml:space="preserve"> L’Italia ha sperimentato un forte declino delle nascite, l’intensificarsi dell’immigrazione, che a livello nazionale ancora contrasta una tendenza al declino della popolazione,</w:t>
      </w:r>
      <w:r>
        <w:rPr>
          <w:spacing w:val="-2"/>
          <w:sz w:val="20"/>
          <w:szCs w:val="20"/>
        </w:rPr>
        <w:t xml:space="preserve"> </w:t>
      </w:r>
      <w:r w:rsidRPr="00A269F3">
        <w:rPr>
          <w:spacing w:val="-2"/>
          <w:sz w:val="20"/>
          <w:szCs w:val="20"/>
        </w:rPr>
        <w:t>ed un graduale aumento della sopravvivenza che ha determinato, più che in altri paesi europei, un forte aumento della popolazione anziana e molto anziana</w:t>
      </w:r>
    </w:p>
  </w:footnote>
  <w:footnote w:id="8">
    <w:p w:rsidR="006013CA" w:rsidRDefault="006013CA" w:rsidP="00605D41">
      <w:pPr>
        <w:pStyle w:val="FootnoteText"/>
      </w:pPr>
      <w:r w:rsidRPr="00034E57">
        <w:rPr>
          <w:rStyle w:val="FootnoteReference"/>
        </w:rPr>
        <w:footnoteRef/>
      </w:r>
      <w:r w:rsidRPr="00034E57">
        <w:t xml:space="preserve"> I dati sulla SAU sono desunti dai censimenti dell’agricoltura che vanno dal 1982 al 2010.</w:t>
      </w:r>
    </w:p>
  </w:footnote>
  <w:footnote w:id="9">
    <w:p w:rsidR="006013CA" w:rsidRDefault="006013CA" w:rsidP="00605D41">
      <w:pPr>
        <w:pStyle w:val="FootnoteText"/>
      </w:pPr>
      <w:r w:rsidRPr="00034E57">
        <w:rPr>
          <w:rStyle w:val="FootnoteReference"/>
        </w:rPr>
        <w:footnoteRef/>
      </w:r>
      <w:r w:rsidRPr="00034E57">
        <w:t xml:space="preserve"> Elaborazioni su dati AGRIT – Populus 2010.</w:t>
      </w:r>
    </w:p>
  </w:footnote>
  <w:footnote w:id="10">
    <w:p w:rsidR="006013CA" w:rsidRDefault="006013CA" w:rsidP="00605D41">
      <w:pPr>
        <w:pStyle w:val="FootnoteText"/>
      </w:pPr>
      <w:r w:rsidRPr="00034E57">
        <w:rPr>
          <w:rStyle w:val="FootnoteReference"/>
        </w:rPr>
        <w:footnoteRef/>
      </w:r>
      <w:r w:rsidRPr="00034E57">
        <w:t xml:space="preserve"> Sic, ZPS e Aree naturali protette rappresentano rispettivamente il 14 per cento, il 13 per cento e il 10 per cento della superficie totale nazionale.</w:t>
      </w:r>
    </w:p>
  </w:footnote>
  <w:footnote w:id="11">
    <w:p w:rsidR="006013CA" w:rsidRDefault="006013CA" w:rsidP="00605D41">
      <w:pPr>
        <w:pStyle w:val="FootnoteText"/>
      </w:pPr>
      <w:r w:rsidRPr="00034E57">
        <w:rPr>
          <w:rStyle w:val="FootnoteReference"/>
        </w:rPr>
        <w:footnoteRef/>
      </w:r>
      <w:r w:rsidRPr="00034E57">
        <w:t xml:space="preserve"> Concernenti la conservazione degli uccelli selvatici.</w:t>
      </w:r>
    </w:p>
  </w:footnote>
  <w:footnote w:id="12">
    <w:p w:rsidR="006013CA" w:rsidRDefault="006013CA" w:rsidP="00605D41">
      <w:pPr>
        <w:pStyle w:val="FootnoteText"/>
      </w:pPr>
      <w:r w:rsidRPr="00034E57">
        <w:rPr>
          <w:rStyle w:val="FootnoteReference"/>
        </w:rPr>
        <w:footnoteRef/>
      </w:r>
      <w:r w:rsidRPr="00034E57">
        <w:t xml:space="preserve"> </w:t>
      </w:r>
      <w:hyperlink r:id="rId1" w:tooltip="Area naturale protetta" w:history="1">
        <w:r w:rsidRPr="00034E57">
          <w:t xml:space="preserve">Aree naturali </w:t>
        </w:r>
      </w:hyperlink>
      <w:r w:rsidRPr="00034E57">
        <w:t>marine e terrestri, ufficialmente riconosciute secondo un elenco stilato, e periodicamente aggiornato, dal </w:t>
      </w:r>
      <w:hyperlink r:id="rId2" w:tooltip="Ministero dell'Ambiente e della Tutela del Territorio e del Mare" w:history="1">
        <w:r w:rsidRPr="00034E57">
          <w:t>Ministero dell'Ambiente e della Tutela del Territorio e del Mare</w:t>
        </w:r>
      </w:hyperlink>
    </w:p>
  </w:footnote>
  <w:footnote w:id="13">
    <w:p w:rsidR="006013CA" w:rsidRDefault="006013CA" w:rsidP="00605D41">
      <w:pPr>
        <w:spacing w:after="0" w:line="240" w:lineRule="auto"/>
      </w:pPr>
      <w:r w:rsidRPr="00A269F3">
        <w:rPr>
          <w:rStyle w:val="FootnoteReference"/>
          <w:spacing w:val="-2"/>
          <w:sz w:val="20"/>
          <w:szCs w:val="20"/>
        </w:rPr>
        <w:footnoteRef/>
      </w:r>
      <w:r w:rsidRPr="00A269F3">
        <w:rPr>
          <w:rStyle w:val="FootnoteReference"/>
          <w:spacing w:val="-2"/>
          <w:sz w:val="20"/>
          <w:szCs w:val="20"/>
        </w:rPr>
        <w:t xml:space="preserve"> </w:t>
      </w:r>
      <w:r w:rsidRPr="00A269F3">
        <w:rPr>
          <w:spacing w:val="-2"/>
          <w:sz w:val="20"/>
          <w:szCs w:val="20"/>
        </w:rPr>
        <w:t>Attualmente non esiste una fonte statistica in grado di mettere a confronto in maniera coerente i macro settori agricolo, manifatturiero e dei servizi. I dati dell’archivio ASIA come anche quelli relativi al Censimento dell’Industria rilevano informazioni limitatamente ai settori manifatturiero e servizi. Si è dunque scelto di utilizzare i dati di fonte Infocamere per il 2012 che si riferiscono alle imprese per settore, e che, rispetto ad altre fonti, oltre ad essere più recenti, ci consentono di rappresentare simultaneamente settore manifatturiero, dei servizi e settore primario. Trattandosi di dati su iscrizioni e cancellazioni delle imprese alle Camere di Commercio, questi dati possono risentire dell’effetto di ritardi nelle comunicazioni in particolare delle cessazioni, tuttavia, possiamo ipotizzare che questo effetto sia diffuso in maniera omogenea nel territorio, e dunque non produca distorsioni significative nei risultati. Un’altra debolezza che si può attribuire ai dati utilizzati è che gli indici di specializzazione sono costruiti sulla base della numerosità delle imprese e non degli addetti in esse impiegati, tuttavia dal confronto con gli indici di specializzazione manifatturiera calcolati sui dati deli addetti alle UL di fonte ASIA non risultano differenze nelle tendenze riscontrate usando i dati Infocamere.</w:t>
      </w:r>
    </w:p>
  </w:footnote>
  <w:footnote w:id="14">
    <w:p w:rsidR="006013CA" w:rsidRDefault="006013CA" w:rsidP="00605D41">
      <w:pPr>
        <w:pStyle w:val="FootnoteText"/>
      </w:pPr>
      <w:r w:rsidRPr="00034E57">
        <w:rPr>
          <w:rStyle w:val="FootnoteReference"/>
        </w:rPr>
        <w:footnoteRef/>
      </w:r>
      <w:r w:rsidRPr="00034E57">
        <w:t xml:space="preserve"> L’indice di specializzazione economica di un comune è calcolato considerando l’incidenza delle imprese attive in un determinato settore economico rapportata al totale delle imprese attive nel comune. Se tale rapporto risulta maggiore dello steso rapporto calcolato a livello nazionale, un comune può essere definito “specializzato” in quel dato settore. Da un punto di vista analitico si è proceduto al calcolo, per ciascun comune, degli indici di specializzazione dei tre settori (primario, secondario e terziario). A ciascun comune poi è stata attribuita la specializzazione economica corrispondente al massimo valore degli indici osservato. I dati si riferiscono ad elaborazioni effettuate su dati Infocamere 2012.</w:t>
      </w:r>
    </w:p>
  </w:footnote>
  <w:footnote w:id="15">
    <w:p w:rsidR="006013CA" w:rsidRDefault="006013CA" w:rsidP="00605D41">
      <w:pPr>
        <w:pStyle w:val="FootnoteText"/>
      </w:pPr>
      <w:r w:rsidRPr="00034E57">
        <w:rPr>
          <w:rStyle w:val="FootnoteReference"/>
        </w:rPr>
        <w:footnoteRef/>
      </w:r>
      <w:r w:rsidRPr="00034E57">
        <w:t xml:space="preserve"> Elaborazioni su dati Asia 2009, Istat. L’archivio Asia comprende le unità locali operanti nei settori che vanno da “Estrazioni di minerali da cave e miniere” (sezione B secondo la classificazione Ateco 2007) a “Altre attività di servizi” (sezione S, divisioni 94-95). I dati desunti da Asia e le elaborazioni su dati Infocamere non sono associabili oltre che per la diversa copertura settoriale e per i diversi anni di riferimento anche e principalmente per la diversa natura dei due archivi, statistica la prima ammnistrativa la seconda, che comportano modalità diverse di raccolta e di aggiornamento.</w:t>
      </w:r>
    </w:p>
  </w:footnote>
  <w:footnote w:id="16">
    <w:p w:rsidR="006013CA" w:rsidRDefault="006013CA" w:rsidP="00605D41">
      <w:pPr>
        <w:pStyle w:val="FootnoteText"/>
      </w:pPr>
      <w:r w:rsidRPr="00034E57">
        <w:rPr>
          <w:rStyle w:val="FootnoteReference"/>
        </w:rPr>
        <w:footnoteRef/>
      </w:r>
      <w:r w:rsidRPr="00034E57">
        <w:t xml:space="preserve"> Elaborazioni su dati del Ministero dell’Economia e delle Finanze 2012.</w:t>
      </w:r>
    </w:p>
  </w:footnote>
  <w:footnote w:id="17">
    <w:p w:rsidR="006013CA" w:rsidRDefault="006013CA" w:rsidP="004C4994">
      <w:pPr>
        <w:pStyle w:val="FootnoteText"/>
      </w:pPr>
      <w:r w:rsidRPr="00034E57">
        <w:rPr>
          <w:rStyle w:val="FootnoteReference"/>
        </w:rPr>
        <w:footnoteRef/>
      </w:r>
      <w:r w:rsidRPr="00034E57">
        <w:t xml:space="preserve"> Il dato va letto in confronto ai Poli dove scuole medie e superiori sono presenti con percentuali prossime al 100 per cento. Le elaborazioni sono state effettuate su dati del Ministero dell’Istruzione, anno scolastico 2010-2011.</w:t>
      </w:r>
    </w:p>
  </w:footnote>
  <w:footnote w:id="18">
    <w:p w:rsidR="006013CA" w:rsidRDefault="006013CA" w:rsidP="004C4994">
      <w:pPr>
        <w:pStyle w:val="FootnoteText"/>
      </w:pPr>
      <w:r w:rsidRPr="00034E57">
        <w:rPr>
          <w:rStyle w:val="FootnoteReference"/>
        </w:rPr>
        <w:footnoteRef/>
      </w:r>
      <w:r w:rsidRPr="00034E57">
        <w:t xml:space="preserve"> Queste considerazioni sono frutto delle elaborazioni effettuate sui risultati dei test Invalsi nel 2012 in Italiano e Matematica per le classi II e V primaria, I e III secondaria di I grado e II secondaria di II grado e si basano sul confronto tra le percentuali degli studenti con scarsi rendimenti calcolate per i Centri e le Aree interne e per il totale nazionale.</w:t>
      </w:r>
    </w:p>
  </w:footnote>
  <w:footnote w:id="19">
    <w:p w:rsidR="006013CA" w:rsidRDefault="006013CA" w:rsidP="004C4994">
      <w:pPr>
        <w:pStyle w:val="FootnoteText"/>
      </w:pPr>
      <w:r w:rsidRPr="00034E57">
        <w:rPr>
          <w:rStyle w:val="FootnoteReference"/>
        </w:rPr>
        <w:footnoteRef/>
      </w:r>
      <w:r w:rsidRPr="00034E57">
        <w:t xml:space="preserve"> I dati presentati sono frutto di elaborazioni basate sulle informazioni presenti nell’Anagrafe Nazionale degli studenti per l’anno scolastico 2011-2012.</w:t>
      </w:r>
    </w:p>
  </w:footnote>
  <w:footnote w:id="20">
    <w:p w:rsidR="006013CA" w:rsidRDefault="006013CA" w:rsidP="004C4994">
      <w:pPr>
        <w:pStyle w:val="FootnoteText"/>
      </w:pPr>
      <w:r w:rsidRPr="00034E57">
        <w:rPr>
          <w:rStyle w:val="FootnoteReference"/>
        </w:rPr>
        <w:footnoteRef/>
      </w:r>
      <w:r w:rsidRPr="00034E57">
        <w:t xml:space="preserve"> È necessario tuttavia, superare le impostazioni dirigistiche ma anche accantonare le ipotesi di autosufficienza localistica. Il centro deve ridurre, o meglio abbandonare del tutto la tendenza alle ingerenze gestionali, e recuperare le funzioni strategiche di definizione degli obiettivi, di stanziamento delle risorse necessarie e di predisposizione degli strumenti di monitoraggio e valutazione</w:t>
      </w:r>
    </w:p>
  </w:footnote>
  <w:footnote w:id="21">
    <w:p w:rsidR="006013CA" w:rsidRDefault="006013CA" w:rsidP="004B43BD">
      <w:pPr>
        <w:pStyle w:val="FootnoteText"/>
      </w:pPr>
      <w:r w:rsidRPr="00034E57">
        <w:rPr>
          <w:rStyle w:val="FootnoteReference"/>
        </w:rPr>
        <w:footnoteRef/>
      </w:r>
      <w:r w:rsidRPr="00034E57">
        <w:t xml:space="preserve"> Vedere Materiali UVAL in corso di pubblicazione ….</w:t>
      </w:r>
    </w:p>
  </w:footnote>
  <w:footnote w:id="22">
    <w:p w:rsidR="006013CA" w:rsidRDefault="006013CA" w:rsidP="004B43BD">
      <w:pPr>
        <w:pStyle w:val="FootnoteText"/>
      </w:pPr>
      <w:r w:rsidRPr="00034E57">
        <w:rPr>
          <w:rStyle w:val="FootnoteReference"/>
        </w:rPr>
        <w:footnoteRef/>
      </w:r>
      <w:r w:rsidRPr="00034E57">
        <w:t xml:space="preserve"> Si veda: Unione delle Province Italiane, </w:t>
      </w:r>
      <w:r w:rsidRPr="00034E57">
        <w:rPr>
          <w:i/>
        </w:rPr>
        <w:t>Ricognizione progetti nel settore della mobilità e trasporto extra-urbano</w:t>
      </w:r>
      <w:r w:rsidRPr="00034E57">
        <w:t>, mimeo, maggio 2013.</w:t>
      </w:r>
    </w:p>
  </w:footnote>
  <w:footnote w:id="23">
    <w:p w:rsidR="006013CA" w:rsidRDefault="006013CA" w:rsidP="00AF36DE">
      <w:pPr>
        <w:pStyle w:val="FootnoteText"/>
      </w:pPr>
      <w:r w:rsidRPr="00034E57">
        <w:rPr>
          <w:rStyle w:val="FootnoteReference"/>
        </w:rPr>
        <w:footnoteRef/>
      </w:r>
      <w:r w:rsidRPr="00034E57">
        <w:t xml:space="preserve"> Direttiva 2012/27/UE.</w:t>
      </w:r>
    </w:p>
  </w:footnote>
  <w:footnote w:id="24">
    <w:p w:rsidR="006013CA" w:rsidRDefault="006013CA" w:rsidP="00AF36DE">
      <w:pPr>
        <w:pStyle w:val="FootnoteText"/>
      </w:pPr>
      <w:r w:rsidRPr="00034E57">
        <w:rPr>
          <w:rStyle w:val="FootnoteReference"/>
        </w:rPr>
        <w:footnoteRef/>
      </w:r>
      <w:r w:rsidRPr="00034E57">
        <w:t xml:space="preserve"> Il riferimento è agli incentivi previsti dal cd. “Conto Termico” (DM 28 dicembre 2012).</w:t>
      </w:r>
    </w:p>
  </w:footnote>
  <w:footnote w:id="25">
    <w:p w:rsidR="006013CA" w:rsidRPr="00034E57" w:rsidRDefault="006013CA" w:rsidP="00212B77">
      <w:pPr>
        <w:pStyle w:val="FootnoteText"/>
      </w:pPr>
      <w:r w:rsidRPr="00034E57">
        <w:rPr>
          <w:rStyle w:val="FootnoteReference"/>
        </w:rPr>
        <w:footnoteRef/>
      </w:r>
      <w:r w:rsidRPr="00034E57">
        <w:t xml:space="preserve"> Per quanto riguarda le altre misure nazionali, se ne segnalano alcuni possibili da valutare:</w:t>
      </w:r>
    </w:p>
    <w:p w:rsidR="006013CA" w:rsidRPr="00034E57" w:rsidRDefault="006013CA" w:rsidP="00703788">
      <w:pPr>
        <w:pStyle w:val="FootnoteText"/>
        <w:ind w:left="567" w:hanging="283"/>
      </w:pPr>
      <w:r w:rsidRPr="00034E57">
        <w:t>a)</w:t>
      </w:r>
      <w:r w:rsidRPr="00034E57">
        <w:tab/>
        <w:t>Strumenti (fiscali o di altra natura) che scoraggino gli utilizzi del suolo con maggiore rischio idrogeologico, compensando così il fatto che fattori quali la termoregolazione, la stabilità del terreno o l’alimentazione delle acque di falda</w:t>
      </w:r>
      <w:r>
        <w:t xml:space="preserve"> </w:t>
      </w:r>
      <w:r w:rsidRPr="00034E57">
        <w:t xml:space="preserve">non assumono valore di mercato (perché non internalizzabili). </w:t>
      </w:r>
    </w:p>
    <w:p w:rsidR="006013CA" w:rsidRPr="00034E57" w:rsidRDefault="006013CA" w:rsidP="00703788">
      <w:pPr>
        <w:pStyle w:val="FootnoteText"/>
        <w:ind w:left="567" w:hanging="283"/>
      </w:pPr>
      <w:r w:rsidRPr="00034E57">
        <w:t>b)</w:t>
      </w:r>
      <w:r>
        <w:tab/>
      </w:r>
      <w:r w:rsidRPr="00034E57">
        <w:t>Promozione con strumenti fiscali differenziati della manutenzione straordinaria, del restauro, dell’adeguamento anti-sismico, dell’efficientamento energetico degli edifici mediante l’applicazione di criteri di bio-architettura.</w:t>
      </w:r>
    </w:p>
    <w:p w:rsidR="006013CA" w:rsidRPr="00034E57" w:rsidRDefault="006013CA" w:rsidP="00703788">
      <w:pPr>
        <w:pStyle w:val="FootnoteText"/>
        <w:ind w:left="567" w:hanging="283"/>
      </w:pPr>
      <w:r w:rsidRPr="00034E57">
        <w:t>c)</w:t>
      </w:r>
      <w:r>
        <w:t xml:space="preserve"> </w:t>
      </w:r>
      <w:r w:rsidRPr="00034E57">
        <w:tab/>
        <w:t>Più in generale, l’introduzione di</w:t>
      </w:r>
      <w:r>
        <w:t xml:space="preserve"> </w:t>
      </w:r>
      <w:r w:rsidRPr="00034E57">
        <w:t>una normativa fiscale coerente;</w:t>
      </w:r>
    </w:p>
    <w:p w:rsidR="006013CA" w:rsidRPr="00034E57" w:rsidRDefault="006013CA" w:rsidP="00703788">
      <w:pPr>
        <w:pStyle w:val="FootnoteText"/>
        <w:ind w:left="567" w:hanging="283"/>
      </w:pPr>
      <w:r w:rsidRPr="00034E57">
        <w:t>d)</w:t>
      </w:r>
      <w:r>
        <w:tab/>
      </w:r>
      <w:r w:rsidRPr="00034E57">
        <w:t>Copertura assicurativa obbligatoria contro le calamità naturali. L’introduzione di tale strumento, che pure va subordinata ad una robusta ricognizione informativa, fornirebbe attraverso segnali di prezzo orientamenti chiari per la localizzazione degli edifici e per i criteri di costruzione.</w:t>
      </w:r>
    </w:p>
    <w:p w:rsidR="006013CA" w:rsidRPr="00034E57" w:rsidRDefault="006013CA" w:rsidP="00703788">
      <w:pPr>
        <w:pStyle w:val="FootnoteText"/>
        <w:ind w:left="567" w:hanging="283"/>
      </w:pPr>
      <w:r w:rsidRPr="00034E57">
        <w:t>e)</w:t>
      </w:r>
      <w:r w:rsidRPr="00034E57">
        <w:tab/>
        <w:t xml:space="preserve">Un nuovo disegno istituzionale che preveda regole diverse per le città metropolitane e per le aree interne e, con riferimento a queste ultime, si riconosca maggiore autonomia e flessibilità all’istituto delle unioni dei Comuni; </w:t>
      </w:r>
    </w:p>
    <w:p w:rsidR="006013CA" w:rsidRPr="00034E57" w:rsidRDefault="006013CA" w:rsidP="00A269F3">
      <w:pPr>
        <w:pStyle w:val="FootnoteText"/>
        <w:ind w:left="567" w:hanging="283"/>
      </w:pPr>
      <w:r w:rsidRPr="00034E57">
        <w:t>f)</w:t>
      </w:r>
      <w:r w:rsidRPr="00034E57">
        <w:tab/>
        <w:t>Riflessione attente per una modifica utile</w:t>
      </w:r>
      <w:r>
        <w:t xml:space="preserve"> </w:t>
      </w:r>
      <w:r w:rsidRPr="00034E57">
        <w:t>della normativa sugli usi civici, sull’uso dei boschi, sulle aree demaniali e sui parchi;</w:t>
      </w:r>
    </w:p>
    <w:p w:rsidR="006013CA" w:rsidRDefault="006013CA" w:rsidP="00A269F3">
      <w:pPr>
        <w:pStyle w:val="FootnoteText"/>
        <w:ind w:left="567" w:hanging="283"/>
      </w:pPr>
      <w:r w:rsidRPr="00034E57">
        <w:t>g)</w:t>
      </w:r>
      <w:r w:rsidRPr="00034E57">
        <w:tab/>
        <w:t>Ripensamento del Patto di stabilità interno.</w:t>
      </w:r>
    </w:p>
  </w:footnote>
  <w:footnote w:id="26">
    <w:p w:rsidR="006013CA" w:rsidRPr="00034E57" w:rsidRDefault="006013CA" w:rsidP="00212B77">
      <w:pPr>
        <w:pStyle w:val="FootnoteText"/>
      </w:pPr>
      <w:r w:rsidRPr="00034E57">
        <w:rPr>
          <w:rStyle w:val="FootnoteReference"/>
        </w:rPr>
        <w:footnoteRef/>
      </w:r>
      <w:r w:rsidRPr="00034E57">
        <w:t xml:space="preserve"> Se non c’è attenzione al tema della cittadinanza, è inutile occuparsi della promozione, cioè del mercato e del lavoro. È evidente che il tema della cittadinanza è condizione necessaria alla prospettiva di sviluppo: senza cittadinanza non emerge una strategia per le aree interne. </w:t>
      </w:r>
    </w:p>
    <w:p w:rsidR="006013CA" w:rsidRPr="00034E57" w:rsidRDefault="006013CA" w:rsidP="00212B77">
      <w:pPr>
        <w:pStyle w:val="FootnoteText"/>
      </w:pPr>
      <w:r w:rsidRPr="00034E57">
        <w:t>Per questi motivi un’attenzione particolare a scuola, salute e mobilità sarà “requisito sine qua non” per ogni progetto finanziato – in favore delle aree interne – nell’ambito della politica regionale. Questo significa che sui territori oggetto di intervento della strategia Aree Interne si procederà con:</w:t>
      </w:r>
    </w:p>
    <w:p w:rsidR="006013CA" w:rsidRPr="00034E57" w:rsidRDefault="006013CA" w:rsidP="00703788">
      <w:pPr>
        <w:pStyle w:val="FootnoteText"/>
        <w:ind w:left="567" w:hanging="283"/>
      </w:pPr>
      <w:r w:rsidRPr="00034E57">
        <w:t>-</w:t>
      </w:r>
      <w:r w:rsidRPr="00034E57">
        <w:tab/>
        <w:t>un’analisi delle condizioni e dei bisogni di servizi di istruzione, sanitari e a favore della mobilità (anche con focus group con la popolazione locale per individuare i livelli di soddisfazione dei servizi alla persona);</w:t>
      </w:r>
    </w:p>
    <w:p w:rsidR="006013CA" w:rsidRPr="00034E57" w:rsidRDefault="006013CA" w:rsidP="00703788">
      <w:pPr>
        <w:pStyle w:val="FootnoteText"/>
        <w:ind w:left="567" w:hanging="283"/>
      </w:pPr>
      <w:r w:rsidRPr="00034E57">
        <w:t>-</w:t>
      </w:r>
      <w:r w:rsidRPr="00034E57">
        <w:tab/>
        <w:t>il coinvolgimento dei presidi locali di riferimento (ASL, case della salute, scuole, ufficio regionale della scuola, Provincia e soggetti responsabili del piano di trasporto di riferimento; ferrovie e compagnie esecutrici del trasporto locale, etc);</w:t>
      </w:r>
    </w:p>
    <w:p w:rsidR="006013CA" w:rsidRPr="00034E57" w:rsidRDefault="006013CA" w:rsidP="00703788">
      <w:pPr>
        <w:pStyle w:val="FootnoteText"/>
        <w:ind w:left="567" w:hanging="283"/>
      </w:pPr>
      <w:r w:rsidRPr="00034E57">
        <w:t xml:space="preserve">- </w:t>
      </w:r>
      <w:r w:rsidRPr="00034E57">
        <w:tab/>
        <w:t>l’impegno di questi soggetti a considerare i bisogni specifici dell’area in cui si realizza il progetto nei propri strumenti di intervento ordinari;</w:t>
      </w:r>
    </w:p>
    <w:p w:rsidR="006013CA" w:rsidRPr="00034E57" w:rsidRDefault="006013CA" w:rsidP="00703788">
      <w:pPr>
        <w:pStyle w:val="FootnoteText"/>
        <w:ind w:left="567" w:hanging="283"/>
      </w:pPr>
      <w:r w:rsidRPr="00034E57">
        <w:t>-</w:t>
      </w:r>
      <w:r w:rsidRPr="00034E57">
        <w:tab/>
        <w:t>individuazione e coinvolgimento dei referenti istituzionali responsabili per garantire il riequilibrio necessario e le soluzioni di policy più pertinenti;</w:t>
      </w:r>
    </w:p>
    <w:p w:rsidR="006013CA" w:rsidRDefault="006013CA" w:rsidP="00703788">
      <w:pPr>
        <w:pStyle w:val="FootnoteText"/>
        <w:ind w:left="567" w:hanging="283"/>
      </w:pPr>
      <w:r w:rsidRPr="00034E57">
        <w:t>-</w:t>
      </w:r>
      <w:r w:rsidRPr="00034E57">
        <w:tab/>
        <w:t>fissazione e misurazione di target di servizio, su cui si impegneranno per il conseguimento o la sorveglianza a secondo del loro grado diretto di responsabilità</w:t>
      </w:r>
      <w:r>
        <w:t xml:space="preserve"> </w:t>
      </w:r>
      <w:r w:rsidRPr="00034E57">
        <w:t>il Ministero dell’Istruzione, quello della Salute e i referenti responsabili per le misure concernenti la mobilità.</w:t>
      </w:r>
    </w:p>
  </w:footnote>
  <w:footnote w:id="27">
    <w:p w:rsidR="006013CA" w:rsidRDefault="006013CA" w:rsidP="00212B77">
      <w:pPr>
        <w:pStyle w:val="FootnoteText"/>
      </w:pPr>
      <w:r w:rsidRPr="00034E57">
        <w:rPr>
          <w:rStyle w:val="FootnoteReference"/>
        </w:rPr>
        <w:footnoteRef/>
      </w:r>
      <w:r w:rsidRPr="00034E57">
        <w:t xml:space="preserve"> Questo obiettivo è perseguito anche – in maniera più informale e flessibile - attraverso il ricorso ad una piattaforma multi-mediale che il DPS sta costruendo quale strumento a completa</w:t>
      </w:r>
      <w:r w:rsidRPr="00320FD6">
        <w:rPr>
          <w:sz w:val="22"/>
          <w:szCs w:val="22"/>
        </w:rPr>
        <w:t xml:space="preserve"> </w:t>
      </w:r>
      <w:r w:rsidRPr="00034E57">
        <w:t xml:space="preserve">disposizione dei territori e dei progetti delle Aree Interne.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473A0D08"/>
    <w:lvl w:ilvl="0" w:tplc="FFFFFFFF">
      <w:start w:val="1"/>
      <w:numFmt w:val="bullet"/>
      <w:lvlText w:val=""/>
      <w:lvlJc w:val="left"/>
      <w:pPr>
        <w:tabs>
          <w:tab w:val="num" w:pos="360"/>
        </w:tabs>
        <w:ind w:left="360" w:hanging="360"/>
      </w:pPr>
      <w:rPr>
        <w:rFonts w:ascii="Symbol" w:hAnsi="Symbol"/>
        <w:sz w:val="20"/>
      </w:rPr>
    </w:lvl>
    <w:lvl w:ilvl="1" w:tplc="9FEA5E18">
      <w:start w:val="1"/>
      <w:numFmt w:val="decimal"/>
      <w:lvlText w:val="%2."/>
      <w:lvlJc w:val="left"/>
      <w:pPr>
        <w:tabs>
          <w:tab w:val="num" w:pos="372"/>
        </w:tabs>
        <w:ind w:left="372" w:hanging="360"/>
      </w:pPr>
      <w:rPr>
        <w:rFonts w:ascii="Garamond" w:hAnsi="Garamond" w:cs="Times New Roman" w:hint="default"/>
        <w:sz w:val="20"/>
        <w:szCs w:val="20"/>
      </w:rPr>
    </w:lvl>
    <w:lvl w:ilvl="2" w:tplc="FFFFFFFF">
      <w:start w:val="1"/>
      <w:numFmt w:val="bullet"/>
      <w:lvlText w:val=""/>
      <w:lvlJc w:val="left"/>
      <w:pPr>
        <w:tabs>
          <w:tab w:val="num" w:pos="1092"/>
        </w:tabs>
        <w:ind w:left="1092" w:hanging="360"/>
      </w:pPr>
      <w:rPr>
        <w:rFonts w:ascii="Wingdings" w:hAnsi="Wingdings" w:hint="default"/>
      </w:rPr>
    </w:lvl>
    <w:lvl w:ilvl="3" w:tplc="FFFFFFFF">
      <w:start w:val="1"/>
      <w:numFmt w:val="bullet"/>
      <w:lvlText w:val=""/>
      <w:lvlJc w:val="left"/>
      <w:pPr>
        <w:tabs>
          <w:tab w:val="num" w:pos="1812"/>
        </w:tabs>
        <w:ind w:left="1812" w:hanging="360"/>
      </w:pPr>
      <w:rPr>
        <w:rFonts w:ascii="Symbol" w:hAnsi="Symbol" w:hint="default"/>
      </w:rPr>
    </w:lvl>
    <w:lvl w:ilvl="4" w:tplc="FFFFFFFF">
      <w:start w:val="1"/>
      <w:numFmt w:val="bullet"/>
      <w:lvlText w:val="o"/>
      <w:lvlJc w:val="left"/>
      <w:pPr>
        <w:tabs>
          <w:tab w:val="num" w:pos="2532"/>
        </w:tabs>
        <w:ind w:left="2532" w:hanging="360"/>
      </w:pPr>
      <w:rPr>
        <w:rFonts w:ascii="Courier New" w:hAnsi="Courier New" w:hint="default"/>
      </w:rPr>
    </w:lvl>
    <w:lvl w:ilvl="5" w:tplc="FFFFFFFF">
      <w:start w:val="1"/>
      <w:numFmt w:val="bullet"/>
      <w:lvlText w:val=""/>
      <w:lvlJc w:val="left"/>
      <w:pPr>
        <w:tabs>
          <w:tab w:val="num" w:pos="3252"/>
        </w:tabs>
        <w:ind w:left="3252" w:hanging="360"/>
      </w:pPr>
      <w:rPr>
        <w:rFonts w:ascii="Wingdings" w:hAnsi="Wingdings" w:hint="default"/>
      </w:rPr>
    </w:lvl>
    <w:lvl w:ilvl="6" w:tplc="FFFFFFFF">
      <w:start w:val="1"/>
      <w:numFmt w:val="bullet"/>
      <w:lvlText w:val=""/>
      <w:lvlJc w:val="left"/>
      <w:pPr>
        <w:tabs>
          <w:tab w:val="num" w:pos="3972"/>
        </w:tabs>
        <w:ind w:left="3972" w:hanging="360"/>
      </w:pPr>
      <w:rPr>
        <w:rFonts w:ascii="Symbol" w:hAnsi="Symbol" w:hint="default"/>
      </w:rPr>
    </w:lvl>
    <w:lvl w:ilvl="7" w:tplc="FFFFFFFF">
      <w:start w:val="1"/>
      <w:numFmt w:val="bullet"/>
      <w:lvlText w:val="o"/>
      <w:lvlJc w:val="left"/>
      <w:pPr>
        <w:tabs>
          <w:tab w:val="num" w:pos="4692"/>
        </w:tabs>
        <w:ind w:left="4692" w:hanging="360"/>
      </w:pPr>
      <w:rPr>
        <w:rFonts w:ascii="Courier New" w:hAnsi="Courier New" w:hint="default"/>
      </w:rPr>
    </w:lvl>
    <w:lvl w:ilvl="8" w:tplc="FFFFFFFF">
      <w:start w:val="1"/>
      <w:numFmt w:val="bullet"/>
      <w:lvlText w:val=""/>
      <w:lvlJc w:val="left"/>
      <w:pPr>
        <w:tabs>
          <w:tab w:val="num" w:pos="5412"/>
        </w:tabs>
        <w:ind w:left="5412" w:hanging="360"/>
      </w:pPr>
      <w:rPr>
        <w:rFonts w:ascii="Wingdings" w:hAnsi="Wingdings" w:hint="default"/>
      </w:rPr>
    </w:lvl>
  </w:abstractNum>
  <w:abstractNum w:abstractNumId="1">
    <w:nsid w:val="0322561A"/>
    <w:multiLevelType w:val="hybridMultilevel"/>
    <w:tmpl w:val="CA5238EA"/>
    <w:lvl w:ilvl="0" w:tplc="DBAA8786">
      <w:start w:val="1"/>
      <w:numFmt w:val="lowerLetter"/>
      <w:lvlText w:val="(%1)"/>
      <w:lvlJc w:val="left"/>
      <w:pPr>
        <w:ind w:left="1440" w:hanging="360"/>
      </w:pPr>
      <w:rPr>
        <w:rFonts w:cs="Times New Roman" w:hint="default"/>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2">
    <w:nsid w:val="045A17E6"/>
    <w:multiLevelType w:val="hybridMultilevel"/>
    <w:tmpl w:val="EA4288A0"/>
    <w:lvl w:ilvl="0" w:tplc="DAE662DC">
      <w:start w:val="2"/>
      <w:numFmt w:val="decimal"/>
      <w:lvlText w:val="%1"/>
      <w:lvlJc w:val="left"/>
      <w:pPr>
        <w:ind w:left="786" w:hanging="360"/>
      </w:pPr>
      <w:rPr>
        <w:rFonts w:cs="Times New Roman" w:hint="default"/>
      </w:rPr>
    </w:lvl>
    <w:lvl w:ilvl="1" w:tplc="04100019" w:tentative="1">
      <w:start w:val="1"/>
      <w:numFmt w:val="lowerLetter"/>
      <w:lvlText w:val="%2."/>
      <w:lvlJc w:val="left"/>
      <w:pPr>
        <w:ind w:left="1506" w:hanging="360"/>
      </w:pPr>
      <w:rPr>
        <w:rFonts w:cs="Times New Roman"/>
      </w:rPr>
    </w:lvl>
    <w:lvl w:ilvl="2" w:tplc="0410001B" w:tentative="1">
      <w:start w:val="1"/>
      <w:numFmt w:val="lowerRoman"/>
      <w:lvlText w:val="%3."/>
      <w:lvlJc w:val="right"/>
      <w:pPr>
        <w:ind w:left="2226" w:hanging="180"/>
      </w:pPr>
      <w:rPr>
        <w:rFonts w:cs="Times New Roman"/>
      </w:rPr>
    </w:lvl>
    <w:lvl w:ilvl="3" w:tplc="0410000F" w:tentative="1">
      <w:start w:val="1"/>
      <w:numFmt w:val="decimal"/>
      <w:lvlText w:val="%4."/>
      <w:lvlJc w:val="left"/>
      <w:pPr>
        <w:ind w:left="2946" w:hanging="360"/>
      </w:pPr>
      <w:rPr>
        <w:rFonts w:cs="Times New Roman"/>
      </w:rPr>
    </w:lvl>
    <w:lvl w:ilvl="4" w:tplc="04100019" w:tentative="1">
      <w:start w:val="1"/>
      <w:numFmt w:val="lowerLetter"/>
      <w:lvlText w:val="%5."/>
      <w:lvlJc w:val="left"/>
      <w:pPr>
        <w:ind w:left="3666" w:hanging="360"/>
      </w:pPr>
      <w:rPr>
        <w:rFonts w:cs="Times New Roman"/>
      </w:rPr>
    </w:lvl>
    <w:lvl w:ilvl="5" w:tplc="0410001B" w:tentative="1">
      <w:start w:val="1"/>
      <w:numFmt w:val="lowerRoman"/>
      <w:lvlText w:val="%6."/>
      <w:lvlJc w:val="right"/>
      <w:pPr>
        <w:ind w:left="4386" w:hanging="180"/>
      </w:pPr>
      <w:rPr>
        <w:rFonts w:cs="Times New Roman"/>
      </w:rPr>
    </w:lvl>
    <w:lvl w:ilvl="6" w:tplc="0410000F" w:tentative="1">
      <w:start w:val="1"/>
      <w:numFmt w:val="decimal"/>
      <w:lvlText w:val="%7."/>
      <w:lvlJc w:val="left"/>
      <w:pPr>
        <w:ind w:left="5106" w:hanging="360"/>
      </w:pPr>
      <w:rPr>
        <w:rFonts w:cs="Times New Roman"/>
      </w:rPr>
    </w:lvl>
    <w:lvl w:ilvl="7" w:tplc="04100019" w:tentative="1">
      <w:start w:val="1"/>
      <w:numFmt w:val="lowerLetter"/>
      <w:lvlText w:val="%8."/>
      <w:lvlJc w:val="left"/>
      <w:pPr>
        <w:ind w:left="5826" w:hanging="360"/>
      </w:pPr>
      <w:rPr>
        <w:rFonts w:cs="Times New Roman"/>
      </w:rPr>
    </w:lvl>
    <w:lvl w:ilvl="8" w:tplc="0410001B" w:tentative="1">
      <w:start w:val="1"/>
      <w:numFmt w:val="lowerRoman"/>
      <w:lvlText w:val="%9."/>
      <w:lvlJc w:val="right"/>
      <w:pPr>
        <w:ind w:left="6546" w:hanging="180"/>
      </w:pPr>
      <w:rPr>
        <w:rFonts w:cs="Times New Roman"/>
      </w:rPr>
    </w:lvl>
  </w:abstractNum>
  <w:abstractNum w:abstractNumId="3">
    <w:nsid w:val="04EA2903"/>
    <w:multiLevelType w:val="hybridMultilevel"/>
    <w:tmpl w:val="35EC1546"/>
    <w:lvl w:ilvl="0" w:tplc="04100017">
      <w:start w:val="1"/>
      <w:numFmt w:val="lowerLetter"/>
      <w:lvlText w:val="%1)"/>
      <w:lvlJc w:val="left"/>
      <w:pPr>
        <w:ind w:left="1800" w:hanging="360"/>
      </w:pPr>
      <w:rPr>
        <w:rFonts w:cs="Times New Roman"/>
      </w:rPr>
    </w:lvl>
    <w:lvl w:ilvl="1" w:tplc="04100019" w:tentative="1">
      <w:start w:val="1"/>
      <w:numFmt w:val="lowerLetter"/>
      <w:lvlText w:val="%2."/>
      <w:lvlJc w:val="left"/>
      <w:pPr>
        <w:ind w:left="2520" w:hanging="360"/>
      </w:pPr>
      <w:rPr>
        <w:rFonts w:cs="Times New Roman"/>
      </w:rPr>
    </w:lvl>
    <w:lvl w:ilvl="2" w:tplc="0410001B" w:tentative="1">
      <w:start w:val="1"/>
      <w:numFmt w:val="lowerRoman"/>
      <w:lvlText w:val="%3."/>
      <w:lvlJc w:val="right"/>
      <w:pPr>
        <w:ind w:left="3240" w:hanging="180"/>
      </w:pPr>
      <w:rPr>
        <w:rFonts w:cs="Times New Roman"/>
      </w:rPr>
    </w:lvl>
    <w:lvl w:ilvl="3" w:tplc="0410000F" w:tentative="1">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4">
    <w:nsid w:val="05E24CA7"/>
    <w:multiLevelType w:val="hybridMultilevel"/>
    <w:tmpl w:val="D07CA314"/>
    <w:lvl w:ilvl="0" w:tplc="D2D8523A">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06215A1E"/>
    <w:multiLevelType w:val="multilevel"/>
    <w:tmpl w:val="D7D0EF2A"/>
    <w:lvl w:ilvl="0">
      <w:start w:val="1"/>
      <w:numFmt w:val="decimal"/>
      <w:lvlText w:val="%1."/>
      <w:lvlJc w:val="left"/>
      <w:pPr>
        <w:ind w:left="720" w:hanging="360"/>
      </w:pPr>
      <w:rPr>
        <w:rFonts w:ascii="Garamond" w:hAnsi="Garamond" w:cs="Times New Roman" w:hint="default"/>
        <w:b/>
        <w:i w:val="0"/>
        <w:color w:val="auto"/>
        <w:sz w:val="28"/>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6">
    <w:nsid w:val="064D5B42"/>
    <w:multiLevelType w:val="hybridMultilevel"/>
    <w:tmpl w:val="BE22D396"/>
    <w:lvl w:ilvl="0" w:tplc="D518749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8316301"/>
    <w:multiLevelType w:val="multilevel"/>
    <w:tmpl w:val="56788B32"/>
    <w:lvl w:ilvl="0">
      <w:start w:val="1"/>
      <w:numFmt w:val="upperRoman"/>
      <w:lvlText w:val="%1."/>
      <w:lvlJc w:val="left"/>
      <w:pPr>
        <w:ind w:left="1068" w:hanging="360"/>
      </w:pPr>
      <w:rPr>
        <w:rFonts w:cs="Times New Roman" w:hint="default"/>
      </w:rPr>
    </w:lvl>
    <w:lvl w:ilvl="1">
      <w:start w:val="1"/>
      <w:numFmt w:val="decimal"/>
      <w:isLgl/>
      <w:lvlText w:val="%1.%2"/>
      <w:lvlJc w:val="left"/>
      <w:pPr>
        <w:ind w:left="1408" w:hanging="7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148" w:hanging="1440"/>
      </w:pPr>
      <w:rPr>
        <w:rFonts w:cs="Times New Roman" w:hint="default"/>
      </w:rPr>
    </w:lvl>
  </w:abstractNum>
  <w:abstractNum w:abstractNumId="8">
    <w:nsid w:val="0E935ED6"/>
    <w:multiLevelType w:val="hybridMultilevel"/>
    <w:tmpl w:val="A134BBD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0F590C2F"/>
    <w:multiLevelType w:val="hybridMultilevel"/>
    <w:tmpl w:val="15D29672"/>
    <w:lvl w:ilvl="0" w:tplc="FFF063A4">
      <w:start w:val="1"/>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2B27156"/>
    <w:multiLevelType w:val="hybridMultilevel"/>
    <w:tmpl w:val="41EEC608"/>
    <w:lvl w:ilvl="0" w:tplc="A3A8E3A2">
      <w:start w:val="4"/>
      <w:numFmt w:val="decimal"/>
      <w:lvlText w:val="%1."/>
      <w:lvlJc w:val="left"/>
      <w:pPr>
        <w:ind w:left="1080" w:hanging="360"/>
      </w:pPr>
      <w:rPr>
        <w:rFonts w:cs="Times New Roman" w:hint="default"/>
        <w:b/>
        <w:color w:val="auto"/>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1">
    <w:nsid w:val="139F657B"/>
    <w:multiLevelType w:val="multilevel"/>
    <w:tmpl w:val="F6829506"/>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2">
    <w:nsid w:val="14890F76"/>
    <w:multiLevelType w:val="hybridMultilevel"/>
    <w:tmpl w:val="01FC9816"/>
    <w:lvl w:ilvl="0" w:tplc="82AEBA80">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1C8835F6"/>
    <w:multiLevelType w:val="hybridMultilevel"/>
    <w:tmpl w:val="A9244212"/>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E671572"/>
    <w:multiLevelType w:val="multilevel"/>
    <w:tmpl w:val="0410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1FC5721D"/>
    <w:multiLevelType w:val="hybridMultilevel"/>
    <w:tmpl w:val="0C7A1CCC"/>
    <w:lvl w:ilvl="0" w:tplc="3214B7DE">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23F3681C"/>
    <w:multiLevelType w:val="hybridMultilevel"/>
    <w:tmpl w:val="D3CE1B9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2657190E"/>
    <w:multiLevelType w:val="hybridMultilevel"/>
    <w:tmpl w:val="A8984E54"/>
    <w:lvl w:ilvl="0" w:tplc="FFF063A4">
      <w:start w:val="1"/>
      <w:numFmt w:val="bullet"/>
      <w:lvlText w:val="-"/>
      <w:lvlJc w:val="left"/>
      <w:pPr>
        <w:ind w:left="774" w:hanging="360"/>
      </w:pPr>
      <w:rPr>
        <w:rFonts w:ascii="Garamond" w:eastAsia="Times New Roman" w:hAnsi="Garamond" w:hint="default"/>
      </w:rPr>
    </w:lvl>
    <w:lvl w:ilvl="1" w:tplc="04100003" w:tentative="1">
      <w:start w:val="1"/>
      <w:numFmt w:val="bullet"/>
      <w:lvlText w:val="o"/>
      <w:lvlJc w:val="left"/>
      <w:pPr>
        <w:ind w:left="1494" w:hanging="360"/>
      </w:pPr>
      <w:rPr>
        <w:rFonts w:ascii="Courier New" w:hAnsi="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18">
    <w:nsid w:val="28185CAD"/>
    <w:multiLevelType w:val="hybridMultilevel"/>
    <w:tmpl w:val="27EC1054"/>
    <w:lvl w:ilvl="0" w:tplc="012AFD5A">
      <w:start w:val="1"/>
      <w:numFmt w:val="lowerLetter"/>
      <w:lvlText w:val="%1)"/>
      <w:lvlJc w:val="left"/>
      <w:pPr>
        <w:ind w:left="1065" w:hanging="360"/>
      </w:pPr>
      <w:rPr>
        <w:rFonts w:cs="Times New Roman" w:hint="default"/>
      </w:rPr>
    </w:lvl>
    <w:lvl w:ilvl="1" w:tplc="04100019" w:tentative="1">
      <w:start w:val="1"/>
      <w:numFmt w:val="lowerLetter"/>
      <w:lvlText w:val="%2."/>
      <w:lvlJc w:val="left"/>
      <w:pPr>
        <w:ind w:left="1785" w:hanging="360"/>
      </w:pPr>
      <w:rPr>
        <w:rFonts w:cs="Times New Roman"/>
      </w:rPr>
    </w:lvl>
    <w:lvl w:ilvl="2" w:tplc="0410001B" w:tentative="1">
      <w:start w:val="1"/>
      <w:numFmt w:val="lowerRoman"/>
      <w:lvlText w:val="%3."/>
      <w:lvlJc w:val="right"/>
      <w:pPr>
        <w:ind w:left="2505" w:hanging="180"/>
      </w:pPr>
      <w:rPr>
        <w:rFonts w:cs="Times New Roman"/>
      </w:rPr>
    </w:lvl>
    <w:lvl w:ilvl="3" w:tplc="0410000F" w:tentative="1">
      <w:start w:val="1"/>
      <w:numFmt w:val="decimal"/>
      <w:lvlText w:val="%4."/>
      <w:lvlJc w:val="left"/>
      <w:pPr>
        <w:ind w:left="3225" w:hanging="360"/>
      </w:pPr>
      <w:rPr>
        <w:rFonts w:cs="Times New Roman"/>
      </w:rPr>
    </w:lvl>
    <w:lvl w:ilvl="4" w:tplc="04100019" w:tentative="1">
      <w:start w:val="1"/>
      <w:numFmt w:val="lowerLetter"/>
      <w:lvlText w:val="%5."/>
      <w:lvlJc w:val="left"/>
      <w:pPr>
        <w:ind w:left="3945" w:hanging="360"/>
      </w:pPr>
      <w:rPr>
        <w:rFonts w:cs="Times New Roman"/>
      </w:rPr>
    </w:lvl>
    <w:lvl w:ilvl="5" w:tplc="0410001B" w:tentative="1">
      <w:start w:val="1"/>
      <w:numFmt w:val="lowerRoman"/>
      <w:lvlText w:val="%6."/>
      <w:lvlJc w:val="right"/>
      <w:pPr>
        <w:ind w:left="4665" w:hanging="180"/>
      </w:pPr>
      <w:rPr>
        <w:rFonts w:cs="Times New Roman"/>
      </w:rPr>
    </w:lvl>
    <w:lvl w:ilvl="6" w:tplc="0410000F" w:tentative="1">
      <w:start w:val="1"/>
      <w:numFmt w:val="decimal"/>
      <w:lvlText w:val="%7."/>
      <w:lvlJc w:val="left"/>
      <w:pPr>
        <w:ind w:left="5385" w:hanging="360"/>
      </w:pPr>
      <w:rPr>
        <w:rFonts w:cs="Times New Roman"/>
      </w:rPr>
    </w:lvl>
    <w:lvl w:ilvl="7" w:tplc="04100019" w:tentative="1">
      <w:start w:val="1"/>
      <w:numFmt w:val="lowerLetter"/>
      <w:lvlText w:val="%8."/>
      <w:lvlJc w:val="left"/>
      <w:pPr>
        <w:ind w:left="6105" w:hanging="360"/>
      </w:pPr>
      <w:rPr>
        <w:rFonts w:cs="Times New Roman"/>
      </w:rPr>
    </w:lvl>
    <w:lvl w:ilvl="8" w:tplc="0410001B" w:tentative="1">
      <w:start w:val="1"/>
      <w:numFmt w:val="lowerRoman"/>
      <w:lvlText w:val="%9."/>
      <w:lvlJc w:val="right"/>
      <w:pPr>
        <w:ind w:left="6825" w:hanging="180"/>
      </w:pPr>
      <w:rPr>
        <w:rFonts w:cs="Times New Roman"/>
      </w:rPr>
    </w:lvl>
  </w:abstractNum>
  <w:abstractNum w:abstractNumId="19">
    <w:nsid w:val="2B603F1D"/>
    <w:multiLevelType w:val="hybridMultilevel"/>
    <w:tmpl w:val="9D9CEBC4"/>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2C9E7573"/>
    <w:multiLevelType w:val="hybridMultilevel"/>
    <w:tmpl w:val="884A0C44"/>
    <w:lvl w:ilvl="0" w:tplc="2FD0A236">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E6F1F08"/>
    <w:multiLevelType w:val="multilevel"/>
    <w:tmpl w:val="181068EA"/>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nsid w:val="2EF942A1"/>
    <w:multiLevelType w:val="hybridMultilevel"/>
    <w:tmpl w:val="A65CC592"/>
    <w:lvl w:ilvl="0" w:tplc="1D40A932">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37BF5891"/>
    <w:multiLevelType w:val="multilevel"/>
    <w:tmpl w:val="0788305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A2277C4"/>
    <w:multiLevelType w:val="hybridMultilevel"/>
    <w:tmpl w:val="1BB41460"/>
    <w:lvl w:ilvl="0" w:tplc="46A45FE4">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3CF36878"/>
    <w:multiLevelType w:val="hybridMultilevel"/>
    <w:tmpl w:val="0994BA28"/>
    <w:lvl w:ilvl="0" w:tplc="82AEBA80">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400E183F"/>
    <w:multiLevelType w:val="multilevel"/>
    <w:tmpl w:val="0410001D"/>
    <w:lvl w:ilvl="0">
      <w:start w:val="1"/>
      <w:numFmt w:val="decimal"/>
      <w:lvlText w:val="%1)"/>
      <w:lvlJc w:val="left"/>
      <w:pPr>
        <w:ind w:left="360" w:hanging="360"/>
      </w:pPr>
      <w:rPr>
        <w:rFonts w:cs="Times New Roman" w:hint="default"/>
      </w:rPr>
    </w:lvl>
    <w:lvl w:ilvl="1">
      <w:start w:val="1"/>
      <w:numFmt w:val="lowerLetter"/>
      <w:lvlText w:val="%2)"/>
      <w:lvlJc w:val="left"/>
      <w:pPr>
        <w:ind w:left="36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nsid w:val="48E36F15"/>
    <w:multiLevelType w:val="hybridMultilevel"/>
    <w:tmpl w:val="B28E8794"/>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8">
    <w:nsid w:val="49B27FF4"/>
    <w:multiLevelType w:val="hybridMultilevel"/>
    <w:tmpl w:val="7E1C6B8A"/>
    <w:lvl w:ilvl="0" w:tplc="04100017">
      <w:start w:val="1"/>
      <w:numFmt w:val="lowerLetter"/>
      <w:lvlText w:val="%1)"/>
      <w:lvlJc w:val="left"/>
      <w:pPr>
        <w:ind w:left="720" w:hanging="360"/>
      </w:pPr>
      <w:rPr>
        <w:rFonts w:cs="Times New Roman" w:hint="default"/>
        <w:b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4FD902B6"/>
    <w:multiLevelType w:val="multilevel"/>
    <w:tmpl w:val="77185BD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2BD6E30"/>
    <w:multiLevelType w:val="hybridMultilevel"/>
    <w:tmpl w:val="747C369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53D724DF"/>
    <w:multiLevelType w:val="hybridMultilevel"/>
    <w:tmpl w:val="17EE7B00"/>
    <w:lvl w:ilvl="0" w:tplc="8CE492F4">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60130F14"/>
    <w:multiLevelType w:val="hybridMultilevel"/>
    <w:tmpl w:val="52227472"/>
    <w:lvl w:ilvl="0" w:tplc="04100013">
      <w:start w:val="1"/>
      <w:numFmt w:val="upperRoman"/>
      <w:lvlText w:val="%1."/>
      <w:lvlJc w:val="righ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62466EDC"/>
    <w:multiLevelType w:val="hybridMultilevel"/>
    <w:tmpl w:val="E5AA69AC"/>
    <w:lvl w:ilvl="0" w:tplc="FFF063A4">
      <w:start w:val="1"/>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4D21CE1"/>
    <w:multiLevelType w:val="hybridMultilevel"/>
    <w:tmpl w:val="D25A4274"/>
    <w:lvl w:ilvl="0" w:tplc="8100554C">
      <w:start w:val="3"/>
      <w:numFmt w:val="decimal"/>
      <w:lvlText w:val="%1."/>
      <w:lvlJc w:val="left"/>
      <w:pPr>
        <w:ind w:left="1080" w:hanging="360"/>
      </w:pPr>
      <w:rPr>
        <w:rFonts w:cs="Times New Roman" w:hint="default"/>
        <w:b/>
        <w:color w:val="auto"/>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35">
    <w:nsid w:val="67155084"/>
    <w:multiLevelType w:val="hybridMultilevel"/>
    <w:tmpl w:val="F1785104"/>
    <w:lvl w:ilvl="0" w:tplc="524A77FE">
      <w:start w:val="1"/>
      <w:numFmt w:val="lowerLetter"/>
      <w:lvlText w:val="(%1)"/>
      <w:lvlJc w:val="left"/>
      <w:pPr>
        <w:ind w:left="1440" w:hanging="360"/>
      </w:pPr>
      <w:rPr>
        <w:rFonts w:cs="Times New Roman" w:hint="default"/>
      </w:rPr>
    </w:lvl>
    <w:lvl w:ilvl="1" w:tplc="04100019" w:tentative="1">
      <w:start w:val="1"/>
      <w:numFmt w:val="lowerLetter"/>
      <w:lvlText w:val="%2."/>
      <w:lvlJc w:val="left"/>
      <w:pPr>
        <w:ind w:left="2160" w:hanging="360"/>
      </w:pPr>
      <w:rPr>
        <w:rFonts w:cs="Times New Roman"/>
      </w:rPr>
    </w:lvl>
    <w:lvl w:ilvl="2" w:tplc="0410001B" w:tentative="1">
      <w:start w:val="1"/>
      <w:numFmt w:val="lowerRoman"/>
      <w:lvlText w:val="%3."/>
      <w:lvlJc w:val="right"/>
      <w:pPr>
        <w:ind w:left="2880" w:hanging="180"/>
      </w:pPr>
      <w:rPr>
        <w:rFonts w:cs="Times New Roman"/>
      </w:rPr>
    </w:lvl>
    <w:lvl w:ilvl="3" w:tplc="0410000F" w:tentative="1">
      <w:start w:val="1"/>
      <w:numFmt w:val="decimal"/>
      <w:lvlText w:val="%4."/>
      <w:lvlJc w:val="left"/>
      <w:pPr>
        <w:ind w:left="3600" w:hanging="360"/>
      </w:pPr>
      <w:rPr>
        <w:rFonts w:cs="Times New Roman"/>
      </w:rPr>
    </w:lvl>
    <w:lvl w:ilvl="4" w:tplc="04100019" w:tentative="1">
      <w:start w:val="1"/>
      <w:numFmt w:val="lowerLetter"/>
      <w:lvlText w:val="%5."/>
      <w:lvlJc w:val="left"/>
      <w:pPr>
        <w:ind w:left="4320" w:hanging="360"/>
      </w:pPr>
      <w:rPr>
        <w:rFonts w:cs="Times New Roman"/>
      </w:rPr>
    </w:lvl>
    <w:lvl w:ilvl="5" w:tplc="0410001B" w:tentative="1">
      <w:start w:val="1"/>
      <w:numFmt w:val="lowerRoman"/>
      <w:lvlText w:val="%6."/>
      <w:lvlJc w:val="right"/>
      <w:pPr>
        <w:ind w:left="5040" w:hanging="180"/>
      </w:pPr>
      <w:rPr>
        <w:rFonts w:cs="Times New Roman"/>
      </w:rPr>
    </w:lvl>
    <w:lvl w:ilvl="6" w:tplc="0410000F" w:tentative="1">
      <w:start w:val="1"/>
      <w:numFmt w:val="decimal"/>
      <w:lvlText w:val="%7."/>
      <w:lvlJc w:val="left"/>
      <w:pPr>
        <w:ind w:left="5760" w:hanging="360"/>
      </w:pPr>
      <w:rPr>
        <w:rFonts w:cs="Times New Roman"/>
      </w:rPr>
    </w:lvl>
    <w:lvl w:ilvl="7" w:tplc="04100019" w:tentative="1">
      <w:start w:val="1"/>
      <w:numFmt w:val="lowerLetter"/>
      <w:lvlText w:val="%8."/>
      <w:lvlJc w:val="left"/>
      <w:pPr>
        <w:ind w:left="6480" w:hanging="360"/>
      </w:pPr>
      <w:rPr>
        <w:rFonts w:cs="Times New Roman"/>
      </w:rPr>
    </w:lvl>
    <w:lvl w:ilvl="8" w:tplc="0410001B" w:tentative="1">
      <w:start w:val="1"/>
      <w:numFmt w:val="lowerRoman"/>
      <w:lvlText w:val="%9."/>
      <w:lvlJc w:val="right"/>
      <w:pPr>
        <w:ind w:left="7200" w:hanging="180"/>
      </w:pPr>
      <w:rPr>
        <w:rFonts w:cs="Times New Roman"/>
      </w:rPr>
    </w:lvl>
  </w:abstractNum>
  <w:abstractNum w:abstractNumId="36">
    <w:nsid w:val="673232C5"/>
    <w:multiLevelType w:val="hybridMultilevel"/>
    <w:tmpl w:val="5978CE14"/>
    <w:lvl w:ilvl="0" w:tplc="D2626F54">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701410D7"/>
    <w:multiLevelType w:val="hybridMultilevel"/>
    <w:tmpl w:val="F81AA356"/>
    <w:lvl w:ilvl="0" w:tplc="5F92CD78">
      <w:start w:val="2"/>
      <w:numFmt w:val="bullet"/>
      <w:lvlText w:val="-"/>
      <w:lvlJc w:val="left"/>
      <w:pPr>
        <w:ind w:left="1080" w:hanging="360"/>
      </w:pPr>
      <w:rPr>
        <w:rFonts w:ascii="Calibri" w:eastAsia="Times New Roman" w:hAnsi="Calibri"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nsid w:val="78191B2A"/>
    <w:multiLevelType w:val="multilevel"/>
    <w:tmpl w:val="931863AE"/>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7"/>
  </w:num>
  <w:num w:numId="2">
    <w:abstractNumId w:val="23"/>
  </w:num>
  <w:num w:numId="3">
    <w:abstractNumId w:val="33"/>
  </w:num>
  <w:num w:numId="4">
    <w:abstractNumId w:val="11"/>
  </w:num>
  <w:num w:numId="5">
    <w:abstractNumId w:val="1"/>
  </w:num>
  <w:num w:numId="6">
    <w:abstractNumId w:val="2"/>
  </w:num>
  <w:num w:numId="7">
    <w:abstractNumId w:val="16"/>
  </w:num>
  <w:num w:numId="8">
    <w:abstractNumId w:val="31"/>
  </w:num>
  <w:num w:numId="9">
    <w:abstractNumId w:val="24"/>
  </w:num>
  <w:num w:numId="10">
    <w:abstractNumId w:val="20"/>
  </w:num>
  <w:num w:numId="11">
    <w:abstractNumId w:val="26"/>
  </w:num>
  <w:num w:numId="12">
    <w:abstractNumId w:val="14"/>
  </w:num>
  <w:num w:numId="13">
    <w:abstractNumId w:val="0"/>
  </w:num>
  <w:num w:numId="14">
    <w:abstractNumId w:val="37"/>
  </w:num>
  <w:num w:numId="15">
    <w:abstractNumId w:val="36"/>
  </w:num>
  <w:num w:numId="16">
    <w:abstractNumId w:val="32"/>
  </w:num>
  <w:num w:numId="17">
    <w:abstractNumId w:val="29"/>
  </w:num>
  <w:num w:numId="18">
    <w:abstractNumId w:val="28"/>
  </w:num>
  <w:num w:numId="19">
    <w:abstractNumId w:val="27"/>
  </w:num>
  <w:num w:numId="20">
    <w:abstractNumId w:val="8"/>
  </w:num>
  <w:num w:numId="21">
    <w:abstractNumId w:val="5"/>
  </w:num>
  <w:num w:numId="22">
    <w:abstractNumId w:val="15"/>
  </w:num>
  <w:num w:numId="23">
    <w:abstractNumId w:val="22"/>
  </w:num>
  <w:num w:numId="24">
    <w:abstractNumId w:val="17"/>
  </w:num>
  <w:num w:numId="25">
    <w:abstractNumId w:val="6"/>
  </w:num>
  <w:num w:numId="26">
    <w:abstractNumId w:val="13"/>
  </w:num>
  <w:num w:numId="27">
    <w:abstractNumId w:val="18"/>
  </w:num>
  <w:num w:numId="28">
    <w:abstractNumId w:val="3"/>
  </w:num>
  <w:num w:numId="29">
    <w:abstractNumId w:val="35"/>
  </w:num>
  <w:num w:numId="30">
    <w:abstractNumId w:val="9"/>
  </w:num>
  <w:num w:numId="31">
    <w:abstractNumId w:val="21"/>
  </w:num>
  <w:num w:numId="32">
    <w:abstractNumId w:val="34"/>
  </w:num>
  <w:num w:numId="33">
    <w:abstractNumId w:val="10"/>
  </w:num>
  <w:num w:numId="34">
    <w:abstractNumId w:val="30"/>
  </w:num>
  <w:num w:numId="35">
    <w:abstractNumId w:val="19"/>
  </w:num>
  <w:num w:numId="36">
    <w:abstractNumId w:val="25"/>
  </w:num>
  <w:num w:numId="37">
    <w:abstractNumId w:val="38"/>
  </w:num>
  <w:num w:numId="38">
    <w:abstractNumId w:val="12"/>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9"/>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D8C"/>
    <w:rsid w:val="00005DF3"/>
    <w:rsid w:val="00031E4A"/>
    <w:rsid w:val="00033120"/>
    <w:rsid w:val="00033308"/>
    <w:rsid w:val="00034E57"/>
    <w:rsid w:val="00047C6A"/>
    <w:rsid w:val="00051FD1"/>
    <w:rsid w:val="00074C6A"/>
    <w:rsid w:val="000A1EAE"/>
    <w:rsid w:val="000C4499"/>
    <w:rsid w:val="000E2A50"/>
    <w:rsid w:val="00105CAF"/>
    <w:rsid w:val="00107C07"/>
    <w:rsid w:val="00111291"/>
    <w:rsid w:val="00113A82"/>
    <w:rsid w:val="00120043"/>
    <w:rsid w:val="00120F53"/>
    <w:rsid w:val="00150172"/>
    <w:rsid w:val="00150285"/>
    <w:rsid w:val="001675D0"/>
    <w:rsid w:val="0018059D"/>
    <w:rsid w:val="001871A6"/>
    <w:rsid w:val="00191651"/>
    <w:rsid w:val="00195BE8"/>
    <w:rsid w:val="001A2B8E"/>
    <w:rsid w:val="001C5D5C"/>
    <w:rsid w:val="001F4445"/>
    <w:rsid w:val="00212B77"/>
    <w:rsid w:val="00220A69"/>
    <w:rsid w:val="002324F4"/>
    <w:rsid w:val="0023450E"/>
    <w:rsid w:val="00242C13"/>
    <w:rsid w:val="00245070"/>
    <w:rsid w:val="00253B5E"/>
    <w:rsid w:val="0025539A"/>
    <w:rsid w:val="002559EA"/>
    <w:rsid w:val="00275470"/>
    <w:rsid w:val="00277469"/>
    <w:rsid w:val="00284C81"/>
    <w:rsid w:val="002854AE"/>
    <w:rsid w:val="002934DF"/>
    <w:rsid w:val="00296576"/>
    <w:rsid w:val="002A10FE"/>
    <w:rsid w:val="002B4624"/>
    <w:rsid w:val="002C26D7"/>
    <w:rsid w:val="002C5BD2"/>
    <w:rsid w:val="002D0D2F"/>
    <w:rsid w:val="002D655F"/>
    <w:rsid w:val="002F4A86"/>
    <w:rsid w:val="002F5AC7"/>
    <w:rsid w:val="00320FD6"/>
    <w:rsid w:val="00322AC4"/>
    <w:rsid w:val="003265F4"/>
    <w:rsid w:val="00357981"/>
    <w:rsid w:val="00367645"/>
    <w:rsid w:val="00390856"/>
    <w:rsid w:val="00397A92"/>
    <w:rsid w:val="003A2458"/>
    <w:rsid w:val="003A7D5E"/>
    <w:rsid w:val="003B6629"/>
    <w:rsid w:val="003B722F"/>
    <w:rsid w:val="003C1DBC"/>
    <w:rsid w:val="003C5C0C"/>
    <w:rsid w:val="003D2B94"/>
    <w:rsid w:val="003D3AB3"/>
    <w:rsid w:val="003F1462"/>
    <w:rsid w:val="003F27DD"/>
    <w:rsid w:val="003F6D8C"/>
    <w:rsid w:val="00421D35"/>
    <w:rsid w:val="004508DE"/>
    <w:rsid w:val="00464FF0"/>
    <w:rsid w:val="004661F6"/>
    <w:rsid w:val="00483462"/>
    <w:rsid w:val="0049272B"/>
    <w:rsid w:val="00495831"/>
    <w:rsid w:val="004971BE"/>
    <w:rsid w:val="004A090A"/>
    <w:rsid w:val="004A3CD8"/>
    <w:rsid w:val="004A3FB6"/>
    <w:rsid w:val="004A6363"/>
    <w:rsid w:val="004B43BD"/>
    <w:rsid w:val="004B5458"/>
    <w:rsid w:val="004B758B"/>
    <w:rsid w:val="004C4994"/>
    <w:rsid w:val="004D02D2"/>
    <w:rsid w:val="004D162F"/>
    <w:rsid w:val="004D3EDE"/>
    <w:rsid w:val="004F27A6"/>
    <w:rsid w:val="004F38A2"/>
    <w:rsid w:val="004F54C7"/>
    <w:rsid w:val="004F7BD2"/>
    <w:rsid w:val="00516505"/>
    <w:rsid w:val="0052622E"/>
    <w:rsid w:val="00543338"/>
    <w:rsid w:val="005569B5"/>
    <w:rsid w:val="00566639"/>
    <w:rsid w:val="0059449B"/>
    <w:rsid w:val="005964F1"/>
    <w:rsid w:val="0059767E"/>
    <w:rsid w:val="005A3892"/>
    <w:rsid w:val="005A4634"/>
    <w:rsid w:val="005A5111"/>
    <w:rsid w:val="005A7EF3"/>
    <w:rsid w:val="005B0025"/>
    <w:rsid w:val="005B2F26"/>
    <w:rsid w:val="005D15A8"/>
    <w:rsid w:val="005E2E79"/>
    <w:rsid w:val="006001E7"/>
    <w:rsid w:val="006013CA"/>
    <w:rsid w:val="00605D41"/>
    <w:rsid w:val="006172C8"/>
    <w:rsid w:val="00625DCD"/>
    <w:rsid w:val="0063247C"/>
    <w:rsid w:val="006636F6"/>
    <w:rsid w:val="00674E78"/>
    <w:rsid w:val="006A576E"/>
    <w:rsid w:val="006B5622"/>
    <w:rsid w:val="006B66ED"/>
    <w:rsid w:val="006D4D03"/>
    <w:rsid w:val="006E3F4A"/>
    <w:rsid w:val="006E406F"/>
    <w:rsid w:val="00703788"/>
    <w:rsid w:val="007038B0"/>
    <w:rsid w:val="00710B6F"/>
    <w:rsid w:val="007205F0"/>
    <w:rsid w:val="007461F8"/>
    <w:rsid w:val="007552D3"/>
    <w:rsid w:val="007569F4"/>
    <w:rsid w:val="00761A1D"/>
    <w:rsid w:val="007704ED"/>
    <w:rsid w:val="00775497"/>
    <w:rsid w:val="007960B4"/>
    <w:rsid w:val="007A1236"/>
    <w:rsid w:val="007A4496"/>
    <w:rsid w:val="007C0B54"/>
    <w:rsid w:val="00800420"/>
    <w:rsid w:val="008045C2"/>
    <w:rsid w:val="00805F2D"/>
    <w:rsid w:val="00817B5C"/>
    <w:rsid w:val="008246A6"/>
    <w:rsid w:val="00827F0C"/>
    <w:rsid w:val="00835550"/>
    <w:rsid w:val="00850E31"/>
    <w:rsid w:val="00857962"/>
    <w:rsid w:val="008A5CDB"/>
    <w:rsid w:val="008A747C"/>
    <w:rsid w:val="008C456C"/>
    <w:rsid w:val="008D0A52"/>
    <w:rsid w:val="008D5FC6"/>
    <w:rsid w:val="008D6793"/>
    <w:rsid w:val="008D7138"/>
    <w:rsid w:val="008F534F"/>
    <w:rsid w:val="00903FD7"/>
    <w:rsid w:val="009113A3"/>
    <w:rsid w:val="00920C24"/>
    <w:rsid w:val="00926FE1"/>
    <w:rsid w:val="00931F13"/>
    <w:rsid w:val="00934ACF"/>
    <w:rsid w:val="00945BEF"/>
    <w:rsid w:val="00951930"/>
    <w:rsid w:val="00952A96"/>
    <w:rsid w:val="0095792A"/>
    <w:rsid w:val="0096207A"/>
    <w:rsid w:val="00973ABE"/>
    <w:rsid w:val="009869CE"/>
    <w:rsid w:val="009A1259"/>
    <w:rsid w:val="009A17EE"/>
    <w:rsid w:val="009A7F57"/>
    <w:rsid w:val="009B7CA9"/>
    <w:rsid w:val="009D330F"/>
    <w:rsid w:val="00A064B6"/>
    <w:rsid w:val="00A07395"/>
    <w:rsid w:val="00A10D08"/>
    <w:rsid w:val="00A17B9E"/>
    <w:rsid w:val="00A23286"/>
    <w:rsid w:val="00A269F3"/>
    <w:rsid w:val="00A26C50"/>
    <w:rsid w:val="00A75DDC"/>
    <w:rsid w:val="00A90908"/>
    <w:rsid w:val="00A95A49"/>
    <w:rsid w:val="00A96924"/>
    <w:rsid w:val="00A970BE"/>
    <w:rsid w:val="00AB4AA7"/>
    <w:rsid w:val="00AB4DCE"/>
    <w:rsid w:val="00AB6C91"/>
    <w:rsid w:val="00AC7178"/>
    <w:rsid w:val="00AF36DE"/>
    <w:rsid w:val="00B070DE"/>
    <w:rsid w:val="00B34136"/>
    <w:rsid w:val="00B42CCD"/>
    <w:rsid w:val="00B55CB9"/>
    <w:rsid w:val="00B56F3A"/>
    <w:rsid w:val="00B73359"/>
    <w:rsid w:val="00B740DA"/>
    <w:rsid w:val="00BA05EB"/>
    <w:rsid w:val="00BA0B52"/>
    <w:rsid w:val="00BA22B4"/>
    <w:rsid w:val="00BC0FF9"/>
    <w:rsid w:val="00BC18FF"/>
    <w:rsid w:val="00BC4D01"/>
    <w:rsid w:val="00BD227E"/>
    <w:rsid w:val="00BF008A"/>
    <w:rsid w:val="00BF31B9"/>
    <w:rsid w:val="00BF51F0"/>
    <w:rsid w:val="00C10951"/>
    <w:rsid w:val="00C22138"/>
    <w:rsid w:val="00C35FE8"/>
    <w:rsid w:val="00C406CA"/>
    <w:rsid w:val="00C509A6"/>
    <w:rsid w:val="00C56B3C"/>
    <w:rsid w:val="00C56C7C"/>
    <w:rsid w:val="00C7423A"/>
    <w:rsid w:val="00C75144"/>
    <w:rsid w:val="00CB01E0"/>
    <w:rsid w:val="00CD0B38"/>
    <w:rsid w:val="00CD2ADA"/>
    <w:rsid w:val="00CF003B"/>
    <w:rsid w:val="00CF1EC0"/>
    <w:rsid w:val="00CF544F"/>
    <w:rsid w:val="00CF7EB9"/>
    <w:rsid w:val="00D11A10"/>
    <w:rsid w:val="00D11F48"/>
    <w:rsid w:val="00D25E27"/>
    <w:rsid w:val="00D306E9"/>
    <w:rsid w:val="00D317D9"/>
    <w:rsid w:val="00D35A1D"/>
    <w:rsid w:val="00D51C56"/>
    <w:rsid w:val="00D7206D"/>
    <w:rsid w:val="00D77EA5"/>
    <w:rsid w:val="00D835B8"/>
    <w:rsid w:val="00DA13B6"/>
    <w:rsid w:val="00DA6B17"/>
    <w:rsid w:val="00DE77C6"/>
    <w:rsid w:val="00DF15BC"/>
    <w:rsid w:val="00DF22E1"/>
    <w:rsid w:val="00DF3FF7"/>
    <w:rsid w:val="00E215F7"/>
    <w:rsid w:val="00E45CB0"/>
    <w:rsid w:val="00E53E46"/>
    <w:rsid w:val="00E70210"/>
    <w:rsid w:val="00E75CF8"/>
    <w:rsid w:val="00E8100C"/>
    <w:rsid w:val="00E87CFB"/>
    <w:rsid w:val="00E87F75"/>
    <w:rsid w:val="00E91D3E"/>
    <w:rsid w:val="00E92DEB"/>
    <w:rsid w:val="00EA7C8D"/>
    <w:rsid w:val="00EB3BA4"/>
    <w:rsid w:val="00EE59E4"/>
    <w:rsid w:val="00F13DED"/>
    <w:rsid w:val="00F32117"/>
    <w:rsid w:val="00F5029E"/>
    <w:rsid w:val="00F5289B"/>
    <w:rsid w:val="00F545D5"/>
    <w:rsid w:val="00F54EE9"/>
    <w:rsid w:val="00F70506"/>
    <w:rsid w:val="00F749DA"/>
    <w:rsid w:val="00F80357"/>
    <w:rsid w:val="00F83E2A"/>
    <w:rsid w:val="00FB3133"/>
    <w:rsid w:val="00FC1248"/>
    <w:rsid w:val="00FC4230"/>
    <w:rsid w:val="00FD0FA5"/>
    <w:rsid w:val="00FE1A61"/>
    <w:rsid w:val="00FF420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95A49"/>
    <w:pPr>
      <w:spacing w:after="200" w:line="276" w:lineRule="auto"/>
      <w:jc w:val="both"/>
    </w:pPr>
    <w:rPr>
      <w:rFonts w:ascii="Garamond" w:hAnsi="Garamond"/>
      <w:sz w:val="28"/>
      <w:lang w:eastAsia="en-US"/>
    </w:rPr>
  </w:style>
  <w:style w:type="paragraph" w:styleId="Heading1">
    <w:name w:val="heading 1"/>
    <w:basedOn w:val="Normal"/>
    <w:next w:val="Normal"/>
    <w:link w:val="Heading1Char"/>
    <w:uiPriority w:val="99"/>
    <w:qFormat/>
    <w:rsid w:val="00033308"/>
    <w:pPr>
      <w:keepNext/>
      <w:keepLines/>
      <w:spacing w:before="480" w:after="0"/>
      <w:outlineLvl w:val="0"/>
    </w:pPr>
    <w:rPr>
      <w:rFonts w:ascii="Cambria" w:eastAsia="Times New Roman" w:hAnsi="Cambria"/>
      <w:b/>
      <w:bCs/>
      <w:color w:val="365F91"/>
      <w:szCs w:val="28"/>
    </w:rPr>
  </w:style>
  <w:style w:type="paragraph" w:styleId="Heading2">
    <w:name w:val="heading 2"/>
    <w:basedOn w:val="Normal"/>
    <w:next w:val="Normal"/>
    <w:link w:val="Heading2Char"/>
    <w:uiPriority w:val="99"/>
    <w:qFormat/>
    <w:rsid w:val="00421D35"/>
    <w:pPr>
      <w:keepNext/>
      <w:keepLines/>
      <w:spacing w:before="200" w:after="0"/>
      <w:outlineLvl w:val="1"/>
    </w:pPr>
    <w:rPr>
      <w:rFonts w:ascii="Cambria" w:eastAsia="Times New Roman" w:hAnsi="Cambria"/>
      <w:b/>
      <w:bCs/>
      <w:smallCaps/>
      <w:color w:val="4F81BD"/>
      <w:sz w:val="26"/>
      <w:szCs w:val="26"/>
    </w:rPr>
  </w:style>
  <w:style w:type="paragraph" w:styleId="Heading3">
    <w:name w:val="heading 3"/>
    <w:basedOn w:val="Normal"/>
    <w:next w:val="Normal"/>
    <w:link w:val="Heading3Char"/>
    <w:uiPriority w:val="99"/>
    <w:qFormat/>
    <w:locked/>
    <w:rsid w:val="00BA0B52"/>
    <w:pPr>
      <w:keepNext/>
      <w:keepLines/>
      <w:spacing w:before="480" w:after="120"/>
      <w:outlineLvl w:val="2"/>
    </w:pPr>
    <w:rPr>
      <w:rFonts w:eastAsia="MS Gothic"/>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3308"/>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421D35"/>
    <w:rPr>
      <w:rFonts w:ascii="Cambria" w:hAnsi="Cambria" w:cs="Times New Roman"/>
      <w:b/>
      <w:bCs/>
      <w:smallCaps/>
      <w:color w:val="4F81BD"/>
      <w:sz w:val="26"/>
      <w:szCs w:val="26"/>
      <w:lang w:val="it-IT"/>
    </w:rPr>
  </w:style>
  <w:style w:type="character" w:customStyle="1" w:styleId="Heading3Char">
    <w:name w:val="Heading 3 Char"/>
    <w:basedOn w:val="DefaultParagraphFont"/>
    <w:link w:val="Heading3"/>
    <w:uiPriority w:val="99"/>
    <w:locked/>
    <w:rsid w:val="00BA0B52"/>
    <w:rPr>
      <w:rFonts w:ascii="Garamond" w:eastAsia="MS Gothic" w:hAnsi="Garamond" w:cs="Times New Roman"/>
      <w:bCs/>
      <w:color w:val="4F81BD"/>
      <w:sz w:val="28"/>
      <w:lang w:val="it-IT"/>
    </w:rPr>
  </w:style>
  <w:style w:type="paragraph" w:styleId="FootnoteText">
    <w:name w:val="footnote text"/>
    <w:basedOn w:val="Normal"/>
    <w:link w:val="FootnoteTextChar"/>
    <w:uiPriority w:val="99"/>
    <w:semiHidden/>
    <w:rsid w:val="009D330F"/>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D330F"/>
    <w:rPr>
      <w:rFonts w:cs="Times New Roman"/>
      <w:sz w:val="20"/>
      <w:szCs w:val="20"/>
    </w:rPr>
  </w:style>
  <w:style w:type="character" w:styleId="FootnoteReference">
    <w:name w:val="footnote reference"/>
    <w:basedOn w:val="DefaultParagraphFont"/>
    <w:uiPriority w:val="99"/>
    <w:semiHidden/>
    <w:rsid w:val="009D330F"/>
    <w:rPr>
      <w:rFonts w:cs="Times New Roman"/>
      <w:vertAlign w:val="superscript"/>
    </w:rPr>
  </w:style>
  <w:style w:type="character" w:styleId="Hyperlink">
    <w:name w:val="Hyperlink"/>
    <w:basedOn w:val="DefaultParagraphFont"/>
    <w:uiPriority w:val="99"/>
    <w:rsid w:val="009D330F"/>
    <w:rPr>
      <w:rFonts w:cs="Times New Roman"/>
      <w:color w:val="0000FF"/>
      <w:u w:val="single"/>
    </w:rPr>
  </w:style>
  <w:style w:type="paragraph" w:styleId="BalloonText">
    <w:name w:val="Balloon Text"/>
    <w:basedOn w:val="Normal"/>
    <w:link w:val="BalloonTextChar"/>
    <w:uiPriority w:val="99"/>
    <w:semiHidden/>
    <w:rsid w:val="009D33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330F"/>
    <w:rPr>
      <w:rFonts w:ascii="Tahoma" w:hAnsi="Tahoma" w:cs="Tahoma"/>
      <w:sz w:val="16"/>
      <w:szCs w:val="16"/>
    </w:rPr>
  </w:style>
  <w:style w:type="paragraph" w:styleId="ListParagraph">
    <w:name w:val="List Paragraph"/>
    <w:basedOn w:val="Normal"/>
    <w:uiPriority w:val="99"/>
    <w:qFormat/>
    <w:rsid w:val="00A96924"/>
    <w:pPr>
      <w:ind w:left="720"/>
      <w:contextualSpacing/>
    </w:pPr>
  </w:style>
  <w:style w:type="paragraph" w:styleId="Header">
    <w:name w:val="header"/>
    <w:basedOn w:val="Normal"/>
    <w:link w:val="HeaderChar"/>
    <w:uiPriority w:val="99"/>
    <w:rsid w:val="008A747C"/>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8A747C"/>
    <w:rPr>
      <w:rFonts w:cs="Times New Roman"/>
    </w:rPr>
  </w:style>
  <w:style w:type="paragraph" w:styleId="Footer">
    <w:name w:val="footer"/>
    <w:basedOn w:val="Normal"/>
    <w:link w:val="FooterChar"/>
    <w:uiPriority w:val="99"/>
    <w:rsid w:val="008A747C"/>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8A747C"/>
    <w:rPr>
      <w:rFonts w:cs="Times New Roman"/>
    </w:rPr>
  </w:style>
  <w:style w:type="paragraph" w:styleId="TOCHeading">
    <w:name w:val="TOC Heading"/>
    <w:basedOn w:val="Heading1"/>
    <w:next w:val="Normal"/>
    <w:uiPriority w:val="99"/>
    <w:qFormat/>
    <w:rsid w:val="00033308"/>
    <w:pPr>
      <w:outlineLvl w:val="9"/>
    </w:pPr>
    <w:rPr>
      <w:lang w:eastAsia="it-IT"/>
    </w:rPr>
  </w:style>
  <w:style w:type="paragraph" w:styleId="TOC1">
    <w:name w:val="toc 1"/>
    <w:basedOn w:val="Normal"/>
    <w:next w:val="Normal"/>
    <w:autoRedefine/>
    <w:uiPriority w:val="99"/>
    <w:rsid w:val="00F749DA"/>
    <w:pPr>
      <w:spacing w:before="120" w:after="0"/>
      <w:jc w:val="left"/>
    </w:pPr>
    <w:rPr>
      <w:rFonts w:ascii="Calibri" w:hAnsi="Calibri"/>
      <w:b/>
      <w:sz w:val="24"/>
      <w:szCs w:val="24"/>
    </w:rPr>
  </w:style>
  <w:style w:type="paragraph" w:styleId="TOC2">
    <w:name w:val="toc 2"/>
    <w:basedOn w:val="Normal"/>
    <w:next w:val="Normal"/>
    <w:autoRedefine/>
    <w:uiPriority w:val="99"/>
    <w:rsid w:val="0023450E"/>
    <w:pPr>
      <w:tabs>
        <w:tab w:val="left" w:pos="567"/>
        <w:tab w:val="right" w:pos="8494"/>
      </w:tabs>
      <w:spacing w:before="240" w:after="0"/>
      <w:jc w:val="left"/>
    </w:pPr>
    <w:rPr>
      <w:b/>
      <w:noProof/>
      <w:sz w:val="22"/>
    </w:rPr>
  </w:style>
  <w:style w:type="paragraph" w:styleId="TOC3">
    <w:name w:val="toc 3"/>
    <w:basedOn w:val="Normal"/>
    <w:next w:val="Normal"/>
    <w:autoRedefine/>
    <w:uiPriority w:val="99"/>
    <w:locked/>
    <w:rsid w:val="0023450E"/>
    <w:pPr>
      <w:tabs>
        <w:tab w:val="left" w:pos="1089"/>
        <w:tab w:val="right" w:pos="8494"/>
      </w:tabs>
      <w:spacing w:after="0"/>
      <w:ind w:left="1134" w:hanging="573"/>
      <w:jc w:val="left"/>
    </w:pPr>
    <w:rPr>
      <w:rFonts w:ascii="Calibri" w:hAnsi="Calibri"/>
      <w:sz w:val="22"/>
    </w:rPr>
  </w:style>
  <w:style w:type="paragraph" w:styleId="TOC4">
    <w:name w:val="toc 4"/>
    <w:basedOn w:val="Normal"/>
    <w:next w:val="Normal"/>
    <w:autoRedefine/>
    <w:uiPriority w:val="99"/>
    <w:locked/>
    <w:rsid w:val="007461F8"/>
    <w:pPr>
      <w:spacing w:after="0"/>
      <w:ind w:left="840"/>
      <w:jc w:val="left"/>
    </w:pPr>
    <w:rPr>
      <w:rFonts w:ascii="Calibri" w:hAnsi="Calibri"/>
      <w:sz w:val="20"/>
      <w:szCs w:val="20"/>
    </w:rPr>
  </w:style>
  <w:style w:type="paragraph" w:styleId="TOC5">
    <w:name w:val="toc 5"/>
    <w:basedOn w:val="Normal"/>
    <w:next w:val="Normal"/>
    <w:autoRedefine/>
    <w:uiPriority w:val="99"/>
    <w:locked/>
    <w:rsid w:val="007461F8"/>
    <w:pPr>
      <w:spacing w:after="0"/>
      <w:ind w:left="1120"/>
      <w:jc w:val="left"/>
    </w:pPr>
    <w:rPr>
      <w:rFonts w:ascii="Calibri" w:hAnsi="Calibri"/>
      <w:sz w:val="20"/>
      <w:szCs w:val="20"/>
    </w:rPr>
  </w:style>
  <w:style w:type="paragraph" w:styleId="TOC6">
    <w:name w:val="toc 6"/>
    <w:basedOn w:val="Normal"/>
    <w:next w:val="Normal"/>
    <w:autoRedefine/>
    <w:uiPriority w:val="99"/>
    <w:locked/>
    <w:rsid w:val="007461F8"/>
    <w:pPr>
      <w:spacing w:after="0"/>
      <w:ind w:left="1400"/>
      <w:jc w:val="left"/>
    </w:pPr>
    <w:rPr>
      <w:rFonts w:ascii="Calibri" w:hAnsi="Calibri"/>
      <w:sz w:val="20"/>
      <w:szCs w:val="20"/>
    </w:rPr>
  </w:style>
  <w:style w:type="paragraph" w:styleId="TOC7">
    <w:name w:val="toc 7"/>
    <w:basedOn w:val="Normal"/>
    <w:next w:val="Normal"/>
    <w:autoRedefine/>
    <w:uiPriority w:val="99"/>
    <w:locked/>
    <w:rsid w:val="007461F8"/>
    <w:pPr>
      <w:spacing w:after="0"/>
      <w:ind w:left="1680"/>
      <w:jc w:val="left"/>
    </w:pPr>
    <w:rPr>
      <w:rFonts w:ascii="Calibri" w:hAnsi="Calibri"/>
      <w:sz w:val="20"/>
      <w:szCs w:val="20"/>
    </w:rPr>
  </w:style>
  <w:style w:type="paragraph" w:styleId="TOC8">
    <w:name w:val="toc 8"/>
    <w:basedOn w:val="Normal"/>
    <w:next w:val="Normal"/>
    <w:autoRedefine/>
    <w:uiPriority w:val="99"/>
    <w:locked/>
    <w:rsid w:val="007461F8"/>
    <w:pPr>
      <w:spacing w:after="0"/>
      <w:ind w:left="1960"/>
      <w:jc w:val="left"/>
    </w:pPr>
    <w:rPr>
      <w:rFonts w:ascii="Calibri" w:hAnsi="Calibri"/>
      <w:sz w:val="20"/>
      <w:szCs w:val="20"/>
    </w:rPr>
  </w:style>
  <w:style w:type="paragraph" w:styleId="TOC9">
    <w:name w:val="toc 9"/>
    <w:basedOn w:val="Normal"/>
    <w:next w:val="Normal"/>
    <w:autoRedefine/>
    <w:uiPriority w:val="99"/>
    <w:locked/>
    <w:rsid w:val="007461F8"/>
    <w:pPr>
      <w:spacing w:after="0"/>
      <w:ind w:left="2240"/>
      <w:jc w:val="left"/>
    </w:pPr>
    <w:rPr>
      <w:rFonts w:ascii="Calibri" w:hAnsi="Calibri"/>
      <w:sz w:val="20"/>
      <w:szCs w:val="20"/>
    </w:rPr>
  </w:style>
  <w:style w:type="paragraph" w:styleId="Title">
    <w:name w:val="Title"/>
    <w:basedOn w:val="Normal"/>
    <w:next w:val="Normal"/>
    <w:link w:val="TitleChar"/>
    <w:uiPriority w:val="99"/>
    <w:qFormat/>
    <w:locked/>
    <w:rsid w:val="00047C6A"/>
    <w:pPr>
      <w:pBdr>
        <w:bottom w:val="single" w:sz="8" w:space="4" w:color="4F81BD"/>
      </w:pBdr>
      <w:spacing w:after="300" w:line="240" w:lineRule="auto"/>
      <w:contextualSpacing/>
    </w:pPr>
    <w:rPr>
      <w:rFonts w:ascii="Cambria" w:eastAsia="MS Gothic" w:hAnsi="Cambria"/>
      <w:color w:val="17365D"/>
      <w:spacing w:val="5"/>
      <w:kern w:val="28"/>
      <w:sz w:val="52"/>
      <w:szCs w:val="52"/>
    </w:rPr>
  </w:style>
  <w:style w:type="character" w:customStyle="1" w:styleId="TitleChar">
    <w:name w:val="Title Char"/>
    <w:basedOn w:val="DefaultParagraphFont"/>
    <w:link w:val="Title"/>
    <w:uiPriority w:val="99"/>
    <w:locked/>
    <w:rsid w:val="00047C6A"/>
    <w:rPr>
      <w:rFonts w:ascii="Cambria" w:eastAsia="MS Gothic" w:hAnsi="Cambria" w:cs="Times New Roman"/>
      <w:color w:val="17365D"/>
      <w:spacing w:val="5"/>
      <w:kern w:val="28"/>
      <w:sz w:val="52"/>
      <w:szCs w:val="52"/>
      <w:lang w:val="it-IT"/>
    </w:rPr>
  </w:style>
  <w:style w:type="table" w:styleId="TableGrid">
    <w:name w:val="Table Grid"/>
    <w:basedOn w:val="TableNormal"/>
    <w:uiPriority w:val="99"/>
    <w:locked/>
    <w:rsid w:val="002D0D2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locked/>
    <w:rsid w:val="00A269F3"/>
    <w:rPr>
      <w:rFonts w:cs="Times New Roman"/>
      <w:b/>
      <w:bCs/>
    </w:rPr>
  </w:style>
</w:styles>
</file>

<file path=word/webSettings.xml><?xml version="1.0" encoding="utf-8"?>
<w:webSettings xmlns:r="http://schemas.openxmlformats.org/officeDocument/2006/relationships" xmlns:w="http://schemas.openxmlformats.org/wordprocessingml/2006/main">
  <w:divs>
    <w:div w:id="1543899503">
      <w:marLeft w:val="0"/>
      <w:marRight w:val="0"/>
      <w:marTop w:val="0"/>
      <w:marBottom w:val="0"/>
      <w:divBdr>
        <w:top w:val="none" w:sz="0" w:space="0" w:color="auto"/>
        <w:left w:val="none" w:sz="0" w:space="0" w:color="auto"/>
        <w:bottom w:val="none" w:sz="0" w:space="0" w:color="auto"/>
        <w:right w:val="none" w:sz="0" w:space="0" w:color="auto"/>
      </w:divBdr>
    </w:div>
    <w:div w:id="1543899504">
      <w:marLeft w:val="0"/>
      <w:marRight w:val="0"/>
      <w:marTop w:val="0"/>
      <w:marBottom w:val="0"/>
      <w:divBdr>
        <w:top w:val="none" w:sz="0" w:space="0" w:color="auto"/>
        <w:left w:val="none" w:sz="0" w:space="0" w:color="auto"/>
        <w:bottom w:val="none" w:sz="0" w:space="0" w:color="auto"/>
        <w:right w:val="none" w:sz="0" w:space="0" w:color="auto"/>
      </w:divBdr>
    </w:div>
    <w:div w:id="1543899505">
      <w:marLeft w:val="0"/>
      <w:marRight w:val="0"/>
      <w:marTop w:val="0"/>
      <w:marBottom w:val="0"/>
      <w:divBdr>
        <w:top w:val="none" w:sz="0" w:space="0" w:color="auto"/>
        <w:left w:val="none" w:sz="0" w:space="0" w:color="auto"/>
        <w:bottom w:val="none" w:sz="0" w:space="0" w:color="auto"/>
        <w:right w:val="none" w:sz="0" w:space="0" w:color="auto"/>
      </w:divBdr>
    </w:div>
    <w:div w:id="1543899506">
      <w:marLeft w:val="0"/>
      <w:marRight w:val="0"/>
      <w:marTop w:val="0"/>
      <w:marBottom w:val="0"/>
      <w:divBdr>
        <w:top w:val="none" w:sz="0" w:space="0" w:color="auto"/>
        <w:left w:val="none" w:sz="0" w:space="0" w:color="auto"/>
        <w:bottom w:val="none" w:sz="0" w:space="0" w:color="auto"/>
        <w:right w:val="none" w:sz="0" w:space="0" w:color="auto"/>
      </w:divBdr>
    </w:div>
    <w:div w:id="1543899507">
      <w:marLeft w:val="0"/>
      <w:marRight w:val="0"/>
      <w:marTop w:val="0"/>
      <w:marBottom w:val="0"/>
      <w:divBdr>
        <w:top w:val="none" w:sz="0" w:space="0" w:color="auto"/>
        <w:left w:val="none" w:sz="0" w:space="0" w:color="auto"/>
        <w:bottom w:val="none" w:sz="0" w:space="0" w:color="auto"/>
        <w:right w:val="none" w:sz="0" w:space="0" w:color="auto"/>
      </w:divBdr>
    </w:div>
    <w:div w:id="1543899508">
      <w:marLeft w:val="0"/>
      <w:marRight w:val="0"/>
      <w:marTop w:val="0"/>
      <w:marBottom w:val="0"/>
      <w:divBdr>
        <w:top w:val="none" w:sz="0" w:space="0" w:color="auto"/>
        <w:left w:val="none" w:sz="0" w:space="0" w:color="auto"/>
        <w:bottom w:val="none" w:sz="0" w:space="0" w:color="auto"/>
        <w:right w:val="none" w:sz="0" w:space="0" w:color="auto"/>
      </w:divBdr>
    </w:div>
    <w:div w:id="1543899509">
      <w:marLeft w:val="0"/>
      <w:marRight w:val="0"/>
      <w:marTop w:val="0"/>
      <w:marBottom w:val="0"/>
      <w:divBdr>
        <w:top w:val="none" w:sz="0" w:space="0" w:color="auto"/>
        <w:left w:val="none" w:sz="0" w:space="0" w:color="auto"/>
        <w:bottom w:val="none" w:sz="0" w:space="0" w:color="auto"/>
        <w:right w:val="none" w:sz="0" w:space="0" w:color="auto"/>
      </w:divBdr>
    </w:div>
    <w:div w:id="15438995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it.wikipedia.org/wiki/Ministero_dell%27Ambiente_e_della_Tutela_del_Territorio_e_del_Mare" TargetMode="External"/><Relationship Id="rId1" Type="http://schemas.openxmlformats.org/officeDocument/2006/relationships/hyperlink" Target="http://it.wikipedia.org/wiki/Area_naturale_protet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54</Pages>
  <Words>17326</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Sommario</dc:title>
  <dc:subject/>
  <dc:creator>Lucatelli Sabrina</dc:creator>
  <cp:keywords/>
  <dc:description/>
  <cp:lastModifiedBy>notaro</cp:lastModifiedBy>
  <cp:revision>2</cp:revision>
  <cp:lastPrinted>2013-05-19T15:20:00Z</cp:lastPrinted>
  <dcterms:created xsi:type="dcterms:W3CDTF">2013-06-04T13:54:00Z</dcterms:created>
  <dcterms:modified xsi:type="dcterms:W3CDTF">2013-06-04T13:54:00Z</dcterms:modified>
</cp:coreProperties>
</file>